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42F8F" w14:textId="4F894093" w:rsidR="00F85220" w:rsidRDefault="00F85220" w:rsidP="00F85220">
      <w:pPr>
        <w:jc w:val="both"/>
        <w:rPr>
          <w:b/>
          <w:bCs/>
          <w:lang w:val="en-US"/>
        </w:rPr>
      </w:pPr>
      <w:r>
        <w:rPr>
          <w:b/>
          <w:bCs/>
          <w:lang w:val="en-US"/>
        </w:rPr>
        <w:t xml:space="preserve">                               PROTOKOLLERİN İZLENMESİ VE DEĞER</w:t>
      </w:r>
      <w:r w:rsidR="000D62B2">
        <w:rPr>
          <w:b/>
          <w:bCs/>
          <w:lang w:val="en-US"/>
        </w:rPr>
        <w:t>LE</w:t>
      </w:r>
      <w:r>
        <w:rPr>
          <w:b/>
          <w:bCs/>
          <w:lang w:val="en-US"/>
        </w:rPr>
        <w:t>NDİRİLMESİ</w:t>
      </w:r>
    </w:p>
    <w:p w14:paraId="56E0881F" w14:textId="2C4CA229" w:rsidR="00F85220" w:rsidRDefault="00F85220" w:rsidP="00F85220">
      <w:pPr>
        <w:jc w:val="both"/>
        <w:rPr>
          <w:b/>
          <w:bCs/>
          <w:lang w:val="en-US"/>
        </w:rPr>
      </w:pPr>
      <w:r>
        <w:rPr>
          <w:b/>
          <w:bCs/>
          <w:lang w:val="en-US"/>
        </w:rPr>
        <w:t xml:space="preserve">                                                                                (2026)</w:t>
      </w:r>
    </w:p>
    <w:p w14:paraId="7344782F" w14:textId="77777777" w:rsidR="00F85220" w:rsidRDefault="00F85220" w:rsidP="00F85220">
      <w:pPr>
        <w:jc w:val="both"/>
        <w:rPr>
          <w:b/>
          <w:bCs/>
          <w:lang w:val="en-US"/>
        </w:rPr>
      </w:pPr>
    </w:p>
    <w:p w14:paraId="2C2548B0" w14:textId="77777777" w:rsidR="00F85220" w:rsidRPr="00F85220" w:rsidRDefault="00F85220" w:rsidP="00F85220">
      <w:pPr>
        <w:jc w:val="both"/>
        <w:rPr>
          <w:lang w:val="en-US"/>
        </w:rPr>
      </w:pPr>
      <w:r w:rsidRPr="00F85220">
        <w:rPr>
          <w:lang w:val="en-US"/>
        </w:rPr>
        <w:t>Bu rapor, Alanya Alaaddin Keykubat Üniversitesi tarafından kamu kurumları, yerel yönetimler, sivil toplum kuruluşları, özel sektör kuruluşları, federasyonlar ve diğer yükseköğretim kurumları ile gerçekleştirilen iş birliği/protokoller kapsamında yürütülen faaliyetlerin izlenmesi ve değerlendirilmesi amacıyla hazırlanmıştır.</w:t>
      </w:r>
    </w:p>
    <w:p w14:paraId="2D624C20" w14:textId="12F5B9DE" w:rsidR="00F85220" w:rsidRPr="00F85220" w:rsidRDefault="00F85220" w:rsidP="00F85220">
      <w:pPr>
        <w:jc w:val="both"/>
        <w:rPr>
          <w:lang w:val="en-US"/>
        </w:rPr>
      </w:pPr>
      <w:r w:rsidRPr="00F85220">
        <w:rPr>
          <w:lang w:val="en-US"/>
        </w:rPr>
        <w:t>Değerlendirme kapsamında; iş birliği protokollerinin uygulamaya yansıma düzeyi, gerçekleştirilen faaliyetler, paydaş katılımı, iş birliklerinin sürdürülebilirliği ve geliştirilmesi gereken yönler ele alınmıştır.</w:t>
      </w:r>
    </w:p>
    <w:p w14:paraId="54F71C4C" w14:textId="77E82B3F" w:rsidR="00F85220" w:rsidRPr="00F85220" w:rsidRDefault="00F85220" w:rsidP="00F85220">
      <w:pPr>
        <w:jc w:val="both"/>
        <w:rPr>
          <w:b/>
          <w:bCs/>
          <w:lang w:val="en-US"/>
        </w:rPr>
      </w:pPr>
      <w:r w:rsidRPr="00F85220">
        <w:rPr>
          <w:b/>
          <w:bCs/>
          <w:lang w:val="en-US"/>
        </w:rPr>
        <w:t>Genel Değerlendirme</w:t>
      </w:r>
    </w:p>
    <w:p w14:paraId="2705681A" w14:textId="77777777" w:rsidR="00F85220" w:rsidRPr="00F85220" w:rsidRDefault="00F85220" w:rsidP="00F85220">
      <w:pPr>
        <w:jc w:val="both"/>
        <w:rPr>
          <w:lang w:val="en-US"/>
        </w:rPr>
      </w:pPr>
      <w:r w:rsidRPr="00F85220">
        <w:rPr>
          <w:lang w:val="en-US"/>
        </w:rPr>
        <w:t>İncelenen faaliyetler, Üniversitenin dış paydaşlarla kurduğu iş birliklerinin yalnızca protokol imzalama düzeyinde kalmadığını ve önemli bir bölümünün somut faaliyetlere dönüştürüldüğünü göstermektedir.</w:t>
      </w:r>
    </w:p>
    <w:p w14:paraId="1577832B" w14:textId="77777777" w:rsidR="00F85220" w:rsidRPr="00F85220" w:rsidRDefault="00F85220" w:rsidP="00F85220">
      <w:pPr>
        <w:jc w:val="both"/>
        <w:rPr>
          <w:lang w:val="en-US"/>
        </w:rPr>
      </w:pPr>
      <w:r w:rsidRPr="00F85220">
        <w:rPr>
          <w:lang w:val="en-US"/>
        </w:rPr>
        <w:t>Faaliyetlerin eğitim ve öğretim, bilimsel araştırma ve yayın, uluslararasılaşma, öğrenci stajı ve istihdamı, toplumsal katkı, sağlık ve güvenlik, spor ve sportif performans, fikrî ve sınai mülkiyet, kütüphane hizmetleri ile fiziki altyapı ve kaynak geliştirme gibi farklı alanlara yayıldığı görülmektedir.</w:t>
      </w:r>
    </w:p>
    <w:p w14:paraId="24EFB44E" w14:textId="77777777" w:rsidR="00F85220" w:rsidRPr="00F85220" w:rsidRDefault="00F85220" w:rsidP="00F85220">
      <w:pPr>
        <w:jc w:val="both"/>
        <w:rPr>
          <w:lang w:val="en-US"/>
        </w:rPr>
      </w:pPr>
      <w:r w:rsidRPr="00F85220">
        <w:rPr>
          <w:lang w:val="en-US"/>
        </w:rPr>
        <w:t>Bu çeşitlilik, Üniversitenin paydaşlarla olan ilişkilerinin çok boyutlu bir yapıya sahip olduğunu göstermektedir.</w:t>
      </w:r>
    </w:p>
    <w:p w14:paraId="68106A9E" w14:textId="77777777" w:rsidR="00F85220" w:rsidRDefault="00F85220" w:rsidP="00F85220">
      <w:pPr>
        <w:jc w:val="both"/>
        <w:rPr>
          <w:b/>
          <w:bCs/>
          <w:lang w:val="en-US"/>
        </w:rPr>
      </w:pPr>
    </w:p>
    <w:p w14:paraId="1AE4EA35" w14:textId="796663D2" w:rsidR="00F85220" w:rsidRPr="00F85220" w:rsidRDefault="00F85220" w:rsidP="00F85220">
      <w:pPr>
        <w:jc w:val="both"/>
        <w:rPr>
          <w:b/>
          <w:bCs/>
          <w:lang w:val="en-US"/>
        </w:rPr>
      </w:pPr>
      <w:r w:rsidRPr="00F85220">
        <w:rPr>
          <w:b/>
          <w:bCs/>
          <w:lang w:val="en-US"/>
        </w:rPr>
        <w:t>Faaliyetlerin Gerçekleşme Düzeyine İlişkin Değerlendirme</w:t>
      </w:r>
    </w:p>
    <w:p w14:paraId="5AF9ACDF" w14:textId="1D810340" w:rsidR="00F85220" w:rsidRPr="00F85220" w:rsidRDefault="00F85220" w:rsidP="00F85220">
      <w:pPr>
        <w:jc w:val="both"/>
        <w:rPr>
          <w:b/>
          <w:bCs/>
          <w:lang w:val="en-US"/>
        </w:rPr>
      </w:pPr>
      <w:r w:rsidRPr="00F85220">
        <w:rPr>
          <w:b/>
          <w:bCs/>
          <w:lang w:val="en-US"/>
        </w:rPr>
        <w:t xml:space="preserve"> Eğitim ve Toplumsal Katkı Faaliyetleri</w:t>
      </w:r>
    </w:p>
    <w:p w14:paraId="3769DB00" w14:textId="77777777" w:rsidR="00F85220" w:rsidRPr="00F85220" w:rsidRDefault="00F85220" w:rsidP="00F85220">
      <w:pPr>
        <w:jc w:val="both"/>
        <w:rPr>
          <w:lang w:val="en-US"/>
        </w:rPr>
      </w:pPr>
      <w:r w:rsidRPr="00F85220">
        <w:rPr>
          <w:lang w:val="en-US"/>
        </w:rPr>
        <w:t>“60+ Tazelenme Üniversitesi” iş birliği kapsamında 60 yaş ve üzerindeki bireylerin sosyal, fiziksel ve zihinsel aktivasyonlarını desteklemeye yönelik eğitim-öğretim faaliyetleri yürütülmektedir. Bunun yanında “60+ Taze Kalemler” ve “60+ Taze Bilim” protokolleri kapsamında 60+ bireylerin eserlerinin ve sağlıklı yaş alma sürecine ilişkin etkinlik ve bilimsel çalışmaların kamuoyu ile paylaşılması sağlanmıştır.</w:t>
      </w:r>
    </w:p>
    <w:p w14:paraId="73036FBB" w14:textId="77777777" w:rsidR="00F85220" w:rsidRPr="00F85220" w:rsidRDefault="00F85220" w:rsidP="00F85220">
      <w:pPr>
        <w:jc w:val="both"/>
        <w:rPr>
          <w:lang w:val="en-US"/>
        </w:rPr>
      </w:pPr>
      <w:r w:rsidRPr="00F85220">
        <w:rPr>
          <w:lang w:val="en-US"/>
        </w:rPr>
        <w:t>“Bir Duruşumuz Var” projesi kapsamında farklı okul kademelerindeki öğrencilerde postüral düzgünlük taramalarının gerçekleştirilmiş olması, üniversite akademik bilgi ve uzmanlığının toplumun farklı kesimlerinin ihtiyaçlarına yönelik kullanılmasına örnek teşkil etmektedir.</w:t>
      </w:r>
    </w:p>
    <w:p w14:paraId="65E245E1" w14:textId="77777777" w:rsidR="00F85220" w:rsidRPr="00F85220" w:rsidRDefault="00F85220" w:rsidP="00F85220">
      <w:pPr>
        <w:jc w:val="both"/>
        <w:rPr>
          <w:lang w:val="en-US"/>
        </w:rPr>
      </w:pPr>
      <w:r w:rsidRPr="00F85220">
        <w:rPr>
          <w:lang w:val="en-US"/>
        </w:rPr>
        <w:lastRenderedPageBreak/>
        <w:t>“Evimde Güvendeyim” Projesi kapsamında ise farklı okullarda velilere eğitim verilmiş ve akademik personel eğitimci olarak sürece dâhil edilmiştir.</w:t>
      </w:r>
    </w:p>
    <w:p w14:paraId="349FA6C6" w14:textId="77777777" w:rsidR="00F85220" w:rsidRPr="00F85220" w:rsidRDefault="00F85220" w:rsidP="00F85220">
      <w:pPr>
        <w:jc w:val="both"/>
        <w:rPr>
          <w:lang w:val="en-US"/>
        </w:rPr>
      </w:pPr>
      <w:r w:rsidRPr="00F85220">
        <w:rPr>
          <w:lang w:val="en-US"/>
        </w:rPr>
        <w:t>Değerlendirme: Bu faaliyetler, protokollerin toplumsal katkı boyutunda aktif olarak uygulandığını göstermektedir.</w:t>
      </w:r>
    </w:p>
    <w:p w14:paraId="6BCDD231" w14:textId="58D72F00" w:rsidR="00F85220" w:rsidRPr="00F85220" w:rsidRDefault="00F85220" w:rsidP="00F85220">
      <w:pPr>
        <w:jc w:val="both"/>
        <w:rPr>
          <w:b/>
          <w:bCs/>
          <w:lang w:val="en-US"/>
        </w:rPr>
      </w:pPr>
      <w:r w:rsidRPr="00F85220">
        <w:rPr>
          <w:b/>
          <w:bCs/>
          <w:lang w:val="en-US"/>
        </w:rPr>
        <w:t>Bilimsel Araştırma ve Uluslararasılaşma</w:t>
      </w:r>
    </w:p>
    <w:p w14:paraId="5205A0F4" w14:textId="77777777" w:rsidR="00F85220" w:rsidRPr="00F85220" w:rsidRDefault="00F85220" w:rsidP="00F85220">
      <w:pPr>
        <w:jc w:val="both"/>
        <w:rPr>
          <w:lang w:val="en-US"/>
        </w:rPr>
      </w:pPr>
      <w:r w:rsidRPr="00F85220">
        <w:rPr>
          <w:lang w:val="en-US"/>
        </w:rPr>
        <w:t>Al-Mustaqbal Üniversitesi ile gerçekleştirilen iş birliği kapsamında uluslararası ortak yayın çalışması yürütülmüş, bilimsel çalışma SCI kapsamındaki bir dergiye gönderilmiş ve Preprints platformunda yayımlanmıştır. Ayrıca ICFSE 2025 konferansına katılım sağlanmış ve Üniversite tarafından Al-Mustaqbal Üniversitesi ile ortaklaşa ICSDT2025 uluslararası konferansı düzenlenmiştir.</w:t>
      </w:r>
    </w:p>
    <w:p w14:paraId="3CFC93EC" w14:textId="77777777" w:rsidR="00F85220" w:rsidRPr="00F85220" w:rsidRDefault="00F85220" w:rsidP="00F85220">
      <w:pPr>
        <w:jc w:val="both"/>
        <w:rPr>
          <w:lang w:val="en-US"/>
        </w:rPr>
      </w:pPr>
      <w:r w:rsidRPr="00F85220">
        <w:rPr>
          <w:lang w:val="en-US"/>
        </w:rPr>
        <w:t>Bu faaliyetler, uluslararası protokollerin akademik üretim, ortak yayın, bilimsel etkinlik ve uluslararası görünürlük açısından somut çıktılara dönüştürüldüğünü göstermektedir.</w:t>
      </w:r>
    </w:p>
    <w:p w14:paraId="40C39210" w14:textId="5232F9A7" w:rsidR="00F85220" w:rsidRPr="00F85220" w:rsidRDefault="00F85220" w:rsidP="00F85220">
      <w:pPr>
        <w:jc w:val="both"/>
        <w:rPr>
          <w:b/>
          <w:bCs/>
          <w:lang w:val="en-US"/>
        </w:rPr>
      </w:pPr>
      <w:r w:rsidRPr="00F85220">
        <w:rPr>
          <w:b/>
          <w:bCs/>
          <w:lang w:val="en-US"/>
        </w:rPr>
        <w:t>Eğitim, Kariyer ve İstihdam</w:t>
      </w:r>
    </w:p>
    <w:p w14:paraId="29C734AC" w14:textId="77777777" w:rsidR="00F85220" w:rsidRPr="00F85220" w:rsidRDefault="00F85220" w:rsidP="00F85220">
      <w:pPr>
        <w:jc w:val="both"/>
        <w:rPr>
          <w:lang w:val="en-US"/>
        </w:rPr>
      </w:pPr>
      <w:r w:rsidRPr="00F85220">
        <w:rPr>
          <w:lang w:val="en-US"/>
        </w:rPr>
        <w:t>MİGROS ile yürütülen “MAYA Mağaza Yöneticisi Yetiştirme Programı” kapsamında eğitim, staj ve işe yerleştirme faaliyetleri planlanmıştır.</w:t>
      </w:r>
    </w:p>
    <w:p w14:paraId="5A3C818D" w14:textId="77777777" w:rsidR="00F85220" w:rsidRPr="00F85220" w:rsidRDefault="00F85220" w:rsidP="00F85220">
      <w:pPr>
        <w:jc w:val="both"/>
        <w:rPr>
          <w:lang w:val="en-US"/>
        </w:rPr>
      </w:pPr>
      <w:r w:rsidRPr="00F85220">
        <w:rPr>
          <w:lang w:val="en-US"/>
        </w:rPr>
        <w:t>ALTSO ile gerçekleştirilen iş birliği kapsamında sektörel eğitim ve seminerlerin yanı sıra Emlak Danışmanlığı ve Temel İlkyardım Eğitimi kurslarının yürütüldüğü; ayrıca farklı konularda seminerler düzenlendiği görülmektedir.</w:t>
      </w:r>
    </w:p>
    <w:p w14:paraId="5E42DA9C" w14:textId="77777777" w:rsidR="00F85220" w:rsidRPr="00F85220" w:rsidRDefault="00F85220" w:rsidP="00F85220">
      <w:pPr>
        <w:jc w:val="both"/>
        <w:rPr>
          <w:lang w:val="en-US"/>
        </w:rPr>
      </w:pPr>
      <w:r w:rsidRPr="00F85220">
        <w:rPr>
          <w:lang w:val="en-US"/>
        </w:rPr>
        <w:t>Sezer İnşaat, Otelcilik, Turizm, Ticaret ve Sanayi A.Ş. ile yapılan iş birliği kapsamında 150 kişilik öğrenci grubuna iftar organizasyonu gerçekleştirilmiş, kuruluş Turizm Fakültesi tarafından dış paydaş olarak belirlenmiş ve 5 öğrencinin istihdamı sağlanmıştır.</w:t>
      </w:r>
    </w:p>
    <w:p w14:paraId="45C96B16" w14:textId="77777777" w:rsidR="00F85220" w:rsidRPr="00F85220" w:rsidRDefault="00F85220" w:rsidP="00F85220">
      <w:pPr>
        <w:jc w:val="both"/>
        <w:rPr>
          <w:lang w:val="en-US"/>
        </w:rPr>
      </w:pPr>
      <w:r w:rsidRPr="00F85220">
        <w:rPr>
          <w:lang w:val="en-US"/>
        </w:rPr>
        <w:t>Ela Excellence Resort Belek ile yapılan iş birliği kapsamında ise 2023-2024 ve 2024-2025 yaz sezonlarında Turizm Fakültesinden 5’er öğrencinin istihdam edildiği belirtilmiştir.</w:t>
      </w:r>
    </w:p>
    <w:p w14:paraId="5B1E11B8" w14:textId="77777777" w:rsidR="00F85220" w:rsidRPr="00F85220" w:rsidRDefault="00F85220" w:rsidP="00F85220">
      <w:pPr>
        <w:jc w:val="both"/>
        <w:rPr>
          <w:lang w:val="en-US"/>
        </w:rPr>
      </w:pPr>
      <w:r w:rsidRPr="00F85220">
        <w:rPr>
          <w:lang w:val="en-US"/>
        </w:rPr>
        <w:t>Değerlendirme: İş birliklerinin öğrenci deneyimi, sektörle etkileşim ve istihdam açısından doğrudan çıktılar ürettiği görülmektedir.</w:t>
      </w:r>
    </w:p>
    <w:p w14:paraId="2B9A9ACF" w14:textId="08A04FAB" w:rsidR="00F85220" w:rsidRPr="00F85220" w:rsidRDefault="00F85220" w:rsidP="00F85220">
      <w:pPr>
        <w:jc w:val="both"/>
        <w:rPr>
          <w:b/>
          <w:bCs/>
          <w:lang w:val="en-US"/>
        </w:rPr>
      </w:pPr>
      <w:r w:rsidRPr="00F85220">
        <w:rPr>
          <w:b/>
          <w:bCs/>
          <w:lang w:val="en-US"/>
        </w:rPr>
        <w:t>Spor Alanındaki İş Birlikleri</w:t>
      </w:r>
    </w:p>
    <w:p w14:paraId="6531BE4E" w14:textId="77777777" w:rsidR="00F85220" w:rsidRPr="00F85220" w:rsidRDefault="00F85220" w:rsidP="00F85220">
      <w:pPr>
        <w:jc w:val="both"/>
        <w:rPr>
          <w:lang w:val="en-US"/>
        </w:rPr>
      </w:pPr>
      <w:r w:rsidRPr="00F85220">
        <w:rPr>
          <w:lang w:val="en-US"/>
        </w:rPr>
        <w:t>Türkiye Modern Pentatlon Federasyonu, Sakarya Uygulamalı Bilimler Üniversitesi, Gloria Sports Arena, Türkiye Badminton Federasyonu ve Alanyaspor ile gerçekleştirilen iş birlikleri kapsamında eğitim, webinar, sporcu ve antrenör gelişimi, performans ölçme-değerlendirme ve bilimsel faaliyetler yürütülmektedir.</w:t>
      </w:r>
    </w:p>
    <w:p w14:paraId="405E9EA3" w14:textId="77777777" w:rsidR="00F85220" w:rsidRPr="00F85220" w:rsidRDefault="00F85220" w:rsidP="00F85220">
      <w:pPr>
        <w:jc w:val="both"/>
        <w:rPr>
          <w:lang w:val="en-US"/>
        </w:rPr>
      </w:pPr>
      <w:r w:rsidRPr="00F85220">
        <w:rPr>
          <w:lang w:val="en-US"/>
        </w:rPr>
        <w:t xml:space="preserve">Türkiye Badminton Federasyonu ile yapılan iş birliği kapsamında antrenörlük kurslarının planlanması ve spor alanında liderlik, toplumsal cinsiyete duyarlı dil, dopingle mücadele, </w:t>
      </w:r>
      <w:r w:rsidRPr="00F85220">
        <w:rPr>
          <w:lang w:val="en-US"/>
        </w:rPr>
        <w:lastRenderedPageBreak/>
        <w:t>beslenme, ergojenik destek kullanımı ve uzun dönemli sporcu gelişimi gibi konularda çok sayıda eğitim ve webinar gerçekleştirilmiştir.</w:t>
      </w:r>
    </w:p>
    <w:p w14:paraId="08F8A710" w14:textId="77777777" w:rsidR="00F85220" w:rsidRPr="00F85220" w:rsidRDefault="00F85220" w:rsidP="00F85220">
      <w:pPr>
        <w:jc w:val="both"/>
        <w:rPr>
          <w:lang w:val="en-US"/>
        </w:rPr>
      </w:pPr>
      <w:r w:rsidRPr="00F85220">
        <w:rPr>
          <w:lang w:val="en-US"/>
        </w:rPr>
        <w:t>Değerlendirme: Spor alanındaki protokollerin süreklilik gösteren, farklı hedef gruplara yönelik ve eğitim odaklı faaliyetlerle desteklendiği görülmektedir.</w:t>
      </w:r>
    </w:p>
    <w:p w14:paraId="462DCE1B" w14:textId="091CF7FD" w:rsidR="00F85220" w:rsidRPr="00F85220" w:rsidRDefault="00F85220" w:rsidP="00F85220">
      <w:pPr>
        <w:jc w:val="both"/>
        <w:rPr>
          <w:b/>
          <w:bCs/>
          <w:lang w:val="en-US"/>
        </w:rPr>
      </w:pPr>
      <w:r w:rsidRPr="00F85220">
        <w:rPr>
          <w:b/>
          <w:bCs/>
          <w:lang w:val="en-US"/>
        </w:rPr>
        <w:t>Kurumsal Kapasite ve Hizmet Geliştirme</w:t>
      </w:r>
    </w:p>
    <w:p w14:paraId="6648AB9C" w14:textId="77777777" w:rsidR="00F85220" w:rsidRPr="00F85220" w:rsidRDefault="00F85220" w:rsidP="00F85220">
      <w:pPr>
        <w:jc w:val="both"/>
        <w:rPr>
          <w:lang w:val="en-US"/>
        </w:rPr>
      </w:pPr>
      <w:r w:rsidRPr="00F85220">
        <w:rPr>
          <w:lang w:val="en-US"/>
        </w:rPr>
        <w:t>Süleyman Demirel Üniversitesi ile yapılan “Hizmet İçi Eğitim Modülü İş Birliği Protokolü” kapsamında ALKÜ personelinin Temel İSG eğitim süreçlerinin yürütülmesi amacıyla Personel Eğitim Modülü’ne erişim sağlanmış, sistem yetkilendirmeleri yapılmış ve eğitim içerikleri oluşturularak eğitimler aktif şekilde yürütülmeye başlanmıştır.</w:t>
      </w:r>
    </w:p>
    <w:p w14:paraId="0CEC7CA8" w14:textId="77777777" w:rsidR="00F85220" w:rsidRPr="00F85220" w:rsidRDefault="00F85220" w:rsidP="00F85220">
      <w:pPr>
        <w:jc w:val="both"/>
        <w:rPr>
          <w:lang w:val="en-US"/>
        </w:rPr>
      </w:pPr>
      <w:r w:rsidRPr="00F85220">
        <w:rPr>
          <w:lang w:val="en-US"/>
        </w:rPr>
        <w:t>Alanya Üniversitesi ile yapılan kütüphanelerin ortak kullanımına ilişkin protokol kapsamında akademik ve idari personel ile öğrencilerin karşılıklı olarak kütüphanelerden ödünç kitap almaları sağlanmaktadır.</w:t>
      </w:r>
    </w:p>
    <w:p w14:paraId="6776EB9B" w14:textId="77777777" w:rsidR="00F85220" w:rsidRPr="00F85220" w:rsidRDefault="00F85220" w:rsidP="00F85220">
      <w:pPr>
        <w:jc w:val="both"/>
        <w:rPr>
          <w:lang w:val="en-US"/>
        </w:rPr>
      </w:pPr>
      <w:r w:rsidRPr="00F85220">
        <w:rPr>
          <w:lang w:val="en-US"/>
        </w:rPr>
        <w:t>Değerlendirme: Bu iş birlikleri, dış paydaşlarla ortak kaynak ve hizmet kullanımının Üniversitenin kurumsal kapasitesine katkı sağladığını göstermektedir.</w:t>
      </w:r>
    </w:p>
    <w:p w14:paraId="58398A73" w14:textId="37626679" w:rsidR="00F85220" w:rsidRPr="00F85220" w:rsidRDefault="00F85220" w:rsidP="00F85220">
      <w:pPr>
        <w:jc w:val="both"/>
        <w:rPr>
          <w:b/>
          <w:bCs/>
          <w:lang w:val="en-US"/>
        </w:rPr>
      </w:pPr>
      <w:r w:rsidRPr="00F85220">
        <w:rPr>
          <w:b/>
          <w:bCs/>
          <w:lang w:val="en-US"/>
        </w:rPr>
        <w:t>Altyapı ve Kaynak Geliştirme</w:t>
      </w:r>
    </w:p>
    <w:p w14:paraId="32814242" w14:textId="77777777" w:rsidR="00F85220" w:rsidRPr="00F85220" w:rsidRDefault="00F85220" w:rsidP="00F85220">
      <w:pPr>
        <w:jc w:val="both"/>
        <w:rPr>
          <w:lang w:val="en-US"/>
        </w:rPr>
      </w:pPr>
      <w:r w:rsidRPr="00F85220">
        <w:rPr>
          <w:lang w:val="en-US"/>
        </w:rPr>
        <w:t>Hayırsever kuruluşlar ve yerel yönetimlerle yapılan iş birlikleri kapsamında eğitim ve sağlık altyapısına yönelik önemli faaliyetler yürütülmüştür.</w:t>
      </w:r>
    </w:p>
    <w:p w14:paraId="23D7A7B5" w14:textId="77777777" w:rsidR="00F85220" w:rsidRPr="00F85220" w:rsidRDefault="00F85220" w:rsidP="00F85220">
      <w:pPr>
        <w:jc w:val="both"/>
        <w:rPr>
          <w:lang w:val="en-US"/>
        </w:rPr>
      </w:pPr>
      <w:r w:rsidRPr="00F85220">
        <w:rPr>
          <w:lang w:val="en-US"/>
        </w:rPr>
        <w:t>Bunlar arasında Akseki’deki okul binası ve müştemilatının Üniversiteye tahsis edilmesi, Konaklı Mahallesi’ndeki taşınmazların Diş Hekimliği Fakültesi ve Araştırma Uygulama Merkezi amacıyla tahsis edilmesi, Kestel Mahallesi’nde sağlık tesisi inşaatı, Cikcilli ve Çıplaklı’da Merkezi Araştırma Laboratuvarı binası ve Cikcilli Kampüsü Rektörlük Ek Hizmet Binası yapımına yönelik iş birlikleri bulunmaktadır.</w:t>
      </w:r>
    </w:p>
    <w:p w14:paraId="23499A68" w14:textId="77777777" w:rsidR="00F85220" w:rsidRPr="00F85220" w:rsidRDefault="00F85220" w:rsidP="00F85220">
      <w:pPr>
        <w:jc w:val="both"/>
        <w:rPr>
          <w:lang w:val="en-US"/>
        </w:rPr>
      </w:pPr>
      <w:r w:rsidRPr="00F85220">
        <w:rPr>
          <w:lang w:val="en-US"/>
        </w:rPr>
        <w:t>Değerlendirme: Bu faaliyetler, iş birliklerinin Üniversitenin fiziksel kapasitesinin geliştirilmesine ve kaynak çeşitliliğinin artırılmasına yönelik önemli katkılar sağladığını göstermektedir.</w:t>
      </w:r>
    </w:p>
    <w:p w14:paraId="0C094630" w14:textId="4D2C75E5" w:rsidR="00F85220" w:rsidRPr="00F85220" w:rsidRDefault="00F85220" w:rsidP="00F85220">
      <w:pPr>
        <w:jc w:val="both"/>
        <w:rPr>
          <w:b/>
          <w:bCs/>
          <w:lang w:val="en-US"/>
        </w:rPr>
      </w:pPr>
      <w:r w:rsidRPr="00F85220">
        <w:rPr>
          <w:b/>
          <w:bCs/>
          <w:lang w:val="en-US"/>
        </w:rPr>
        <w:t>Sürdürülebilirlik Değerlendirmesi</w:t>
      </w:r>
    </w:p>
    <w:p w14:paraId="5AD659A8" w14:textId="77777777" w:rsidR="00F85220" w:rsidRPr="00F85220" w:rsidRDefault="00F85220" w:rsidP="00F85220">
      <w:pPr>
        <w:jc w:val="both"/>
        <w:rPr>
          <w:lang w:val="en-US"/>
        </w:rPr>
      </w:pPr>
      <w:r w:rsidRPr="00F85220">
        <w:rPr>
          <w:lang w:val="en-US"/>
        </w:rPr>
        <w:t>İncelenen protokollerin önemli bir bölümünün çok yıllı veya süresiz olarak düzenlendiği görülmektedir. Örneğin ALTSO ile yapılan iş birliği 2028 yılına, MİGROS ile yapılan protokol 2027 yılına, SDÜ ile yapılan protokol 2029 yılına kadar devam etmektedir.</w:t>
      </w:r>
    </w:p>
    <w:p w14:paraId="6C3A610A" w14:textId="77777777" w:rsidR="00F85220" w:rsidRPr="00F85220" w:rsidRDefault="00F85220" w:rsidP="00F85220">
      <w:pPr>
        <w:jc w:val="both"/>
        <w:rPr>
          <w:lang w:val="en-US"/>
        </w:rPr>
      </w:pPr>
      <w:r w:rsidRPr="00F85220">
        <w:rPr>
          <w:lang w:val="en-US"/>
        </w:rPr>
        <w:t>Bununla birlikte, sürdürülebilirliğin yalnızca protokolün yürürlük süresiyle değil, protokol kapsamında düzenli olarak faaliyet gerçekleştirilmesi ve faaliyetlerin sonuçlarının izlenmesiyle değerlendirilmesi gerekmektedir.</w:t>
      </w:r>
    </w:p>
    <w:p w14:paraId="16A9A2C3" w14:textId="77777777" w:rsidR="00F85220" w:rsidRPr="00F85220" w:rsidRDefault="00F85220" w:rsidP="00F85220">
      <w:pPr>
        <w:jc w:val="both"/>
        <w:rPr>
          <w:lang w:val="en-US"/>
        </w:rPr>
      </w:pPr>
      <w:r w:rsidRPr="00F85220">
        <w:rPr>
          <w:lang w:val="en-US"/>
        </w:rPr>
        <w:lastRenderedPageBreak/>
        <w:t>Bu nedenle gelecek izleme dönemlerinde her protokol için “Protokol amacı → yıllık faaliyet → çıktı → sonuç → paydaş memnuniyeti → iyileştirme → yeni dönem planı” zincirinin kurulması önerilmektedir.</w:t>
      </w:r>
    </w:p>
    <w:p w14:paraId="04D5DC80" w14:textId="6E2BE65D" w:rsidR="00F85220" w:rsidRPr="00F85220" w:rsidRDefault="00F85220" w:rsidP="00F85220">
      <w:pPr>
        <w:jc w:val="both"/>
        <w:rPr>
          <w:b/>
          <w:bCs/>
          <w:lang w:val="en-US"/>
        </w:rPr>
      </w:pPr>
      <w:r w:rsidRPr="00F85220">
        <w:rPr>
          <w:b/>
          <w:bCs/>
          <w:lang w:val="en-US"/>
        </w:rPr>
        <w:t>Genel Sonuç</w:t>
      </w:r>
    </w:p>
    <w:p w14:paraId="1B78BCD2" w14:textId="77777777" w:rsidR="00F85220" w:rsidRPr="00F85220" w:rsidRDefault="00F85220" w:rsidP="00F85220">
      <w:pPr>
        <w:jc w:val="both"/>
        <w:rPr>
          <w:lang w:val="en-US"/>
        </w:rPr>
      </w:pPr>
      <w:r w:rsidRPr="00F85220">
        <w:rPr>
          <w:lang w:val="en-US"/>
        </w:rPr>
        <w:t>FR.494 İş Birliği/Protokoller Kapsamında Yapılan Faaliyetler Takip Formu üzerinde gerçekleştirilen inceleme sonucunda, Alanya Alaaddin Keykubat Üniversitesinin farklı sektör ve kurumlarla gerçekleştirdiği iş birliklerinin önemli ölçüde aktif faaliyetlere dönüştürüldüğü değerlendirilmiştir.</w:t>
      </w:r>
    </w:p>
    <w:p w14:paraId="01F07F1D" w14:textId="77777777" w:rsidR="00F85220" w:rsidRPr="00F85220" w:rsidRDefault="00F85220" w:rsidP="00F85220">
      <w:pPr>
        <w:jc w:val="both"/>
        <w:rPr>
          <w:lang w:val="en-US"/>
        </w:rPr>
      </w:pPr>
      <w:r w:rsidRPr="00F85220">
        <w:rPr>
          <w:lang w:val="en-US"/>
        </w:rPr>
        <w:t>Faaliyetlerin eğitim, bilimsel araştırma, uluslararasılaşma, toplumsal katkı, öğrenci istihdamı, spor, sağlık, kurumsal kapasite ve fiziki altyapı gibi Üniversitenin farklı faaliyet alanlarını kapsadığı görülmektedir.</w:t>
      </w:r>
    </w:p>
    <w:p w14:paraId="02491F35" w14:textId="77777777" w:rsidR="00F85220" w:rsidRPr="00F85220" w:rsidRDefault="00F85220" w:rsidP="00F85220">
      <w:pPr>
        <w:jc w:val="both"/>
        <w:rPr>
          <w:lang w:val="en-US"/>
        </w:rPr>
      </w:pPr>
      <w:r w:rsidRPr="00F85220">
        <w:rPr>
          <w:lang w:val="en-US"/>
        </w:rPr>
        <w:t>Özellikle ortak bilimsel çalışmalar ve uluslararası konferanslar, öğrenci istihdamı, mesleki eğitimler, toplumsal katkı projeleri, sporcu/antrenör gelişimi ve Üniversitenin fiziki kapasitesini artırmaya yönelik çalışmalar, iş birliklerinin somut çıktılarının bulunduğunu göstermektedir.</w:t>
      </w:r>
    </w:p>
    <w:p w14:paraId="23D5398D" w14:textId="77777777" w:rsidR="00597378" w:rsidRDefault="00597378" w:rsidP="00F85220">
      <w:pPr>
        <w:jc w:val="both"/>
      </w:pPr>
    </w:p>
    <w:sectPr w:rsidR="00597378" w:rsidSect="00F85220">
      <w:footerReference w:type="default" r:id="rId4"/>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99D2" w14:textId="77777777" w:rsidR="00F85220" w:rsidRDefault="00F85220">
    <w:pPr>
      <w:pStyle w:val="AltBilgi"/>
      <w:jc w:val="center"/>
    </w:pPr>
    <w:r>
      <w:t>Alanya Alaaddin Keykubat Üniversitesi – Kalite Koordinatörlüğü</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8A"/>
    <w:rsid w:val="000C108A"/>
    <w:rsid w:val="000D62B2"/>
    <w:rsid w:val="00597378"/>
    <w:rsid w:val="00AD7543"/>
    <w:rsid w:val="00D15C2B"/>
    <w:rsid w:val="00F852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A3845"/>
  <w15:chartTrackingRefBased/>
  <w15:docId w15:val="{F13AD209-ACBE-465C-872A-C1C98128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C1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C1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C108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C108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C108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C10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C10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C10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C10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C108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C108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C108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C108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C108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C10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C10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C10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C108A"/>
    <w:rPr>
      <w:rFonts w:eastAsiaTheme="majorEastAsia" w:cstheme="majorBidi"/>
      <w:color w:val="272727" w:themeColor="text1" w:themeTint="D8"/>
    </w:rPr>
  </w:style>
  <w:style w:type="paragraph" w:styleId="KonuBal">
    <w:name w:val="Title"/>
    <w:basedOn w:val="Normal"/>
    <w:next w:val="Normal"/>
    <w:link w:val="KonuBalChar"/>
    <w:uiPriority w:val="10"/>
    <w:qFormat/>
    <w:rsid w:val="000C1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C10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C10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C10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C10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C108A"/>
    <w:rPr>
      <w:i/>
      <w:iCs/>
      <w:color w:val="404040" w:themeColor="text1" w:themeTint="BF"/>
    </w:rPr>
  </w:style>
  <w:style w:type="paragraph" w:styleId="ListeParagraf">
    <w:name w:val="List Paragraph"/>
    <w:basedOn w:val="Normal"/>
    <w:uiPriority w:val="34"/>
    <w:qFormat/>
    <w:rsid w:val="000C108A"/>
    <w:pPr>
      <w:ind w:left="720"/>
      <w:contextualSpacing/>
    </w:pPr>
  </w:style>
  <w:style w:type="character" w:styleId="GlVurgulama">
    <w:name w:val="Intense Emphasis"/>
    <w:basedOn w:val="VarsaylanParagrafYazTipi"/>
    <w:uiPriority w:val="21"/>
    <w:qFormat/>
    <w:rsid w:val="000C108A"/>
    <w:rPr>
      <w:i/>
      <w:iCs/>
      <w:color w:val="0F4761" w:themeColor="accent1" w:themeShade="BF"/>
    </w:rPr>
  </w:style>
  <w:style w:type="paragraph" w:styleId="GlAlnt">
    <w:name w:val="Intense Quote"/>
    <w:basedOn w:val="Normal"/>
    <w:next w:val="Normal"/>
    <w:link w:val="GlAlntChar"/>
    <w:uiPriority w:val="30"/>
    <w:qFormat/>
    <w:rsid w:val="000C1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C108A"/>
    <w:rPr>
      <w:i/>
      <w:iCs/>
      <w:color w:val="0F4761" w:themeColor="accent1" w:themeShade="BF"/>
    </w:rPr>
  </w:style>
  <w:style w:type="character" w:styleId="GlBavuru">
    <w:name w:val="Intense Reference"/>
    <w:basedOn w:val="VarsaylanParagrafYazTipi"/>
    <w:uiPriority w:val="32"/>
    <w:qFormat/>
    <w:rsid w:val="000C108A"/>
    <w:rPr>
      <w:b/>
      <w:bCs/>
      <w:smallCaps/>
      <w:color w:val="0F4761" w:themeColor="accent1" w:themeShade="BF"/>
      <w:spacing w:val="5"/>
    </w:rPr>
  </w:style>
  <w:style w:type="paragraph" w:styleId="AltBilgi">
    <w:name w:val="footer"/>
    <w:basedOn w:val="Normal"/>
    <w:link w:val="AltBilgiChar"/>
    <w:uiPriority w:val="99"/>
    <w:semiHidden/>
    <w:unhideWhenUsed/>
    <w:rsid w:val="00F85220"/>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F85220"/>
  </w:style>
  <w:style w:type="table" w:styleId="TabloKlavuzu">
    <w:name w:val="Table Grid"/>
    <w:basedOn w:val="NormalTablo"/>
    <w:uiPriority w:val="39"/>
    <w:rsid w:val="00F85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1162</Words>
  <Characters>6624</Characters>
  <Application>Microsoft Office Word</Application>
  <DocSecurity>0</DocSecurity>
  <Lines>55</Lines>
  <Paragraphs>15</Paragraphs>
  <ScaleCrop>false</ScaleCrop>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ANDIZ SÖĞÜT</dc:creator>
  <cp:keywords/>
  <dc:description/>
  <cp:lastModifiedBy>ARZU ANDIZ SÖĞÜT</cp:lastModifiedBy>
  <cp:revision>4</cp:revision>
  <cp:lastPrinted>2026-09-14T12:06:00Z</cp:lastPrinted>
  <dcterms:created xsi:type="dcterms:W3CDTF">2026-09-14T12:00:00Z</dcterms:created>
  <dcterms:modified xsi:type="dcterms:W3CDTF">2026-09-14T12:10:00Z</dcterms:modified>
</cp:coreProperties>
</file>