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7542AA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783DC9D6" w:rsidR="004A7999" w:rsidRPr="007542AA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7542AA">
              <w:rPr>
                <w:b/>
                <w:sz w:val="28"/>
                <w:lang w:val="tr-TR"/>
              </w:rPr>
              <w:t>İŞ SAĞLIĞI VE GÜVENLİĞİ</w:t>
            </w:r>
            <w:r w:rsidR="004A7999" w:rsidRPr="007542AA">
              <w:rPr>
                <w:lang w:val="tr-TR"/>
              </w:rPr>
              <w:t xml:space="preserve"> </w:t>
            </w:r>
            <w:r w:rsidR="00815D05" w:rsidRPr="007542AA">
              <w:rPr>
                <w:b/>
                <w:sz w:val="28"/>
                <w:lang w:val="tr-TR"/>
              </w:rPr>
              <w:t>ATIKLAR</w:t>
            </w:r>
          </w:p>
          <w:p w14:paraId="41F278F2" w14:textId="17C5429B" w:rsidR="008A5F6A" w:rsidRPr="007542AA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7542AA">
              <w:rPr>
                <w:b/>
                <w:sz w:val="28"/>
                <w:lang w:val="tr-TR"/>
              </w:rPr>
              <w:t xml:space="preserve"> KONTROL LİSTESİ (</w:t>
            </w:r>
            <w:r w:rsidR="00815D05" w:rsidRPr="007542AA">
              <w:rPr>
                <w:b/>
                <w:sz w:val="28"/>
                <w:lang w:val="tr-TR"/>
              </w:rPr>
              <w:t>TÜM</w:t>
            </w:r>
            <w:r w:rsidRPr="007542AA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7542AA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7542AA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7542AA" w:rsidRDefault="008A5F6A" w:rsidP="00BA2744">
            <w:pPr>
              <w:pStyle w:val="TableParagraph"/>
              <w:spacing w:before="11"/>
              <w:rPr>
                <w:rFonts w:ascii="Times New Roman"/>
                <w:sz w:val="27"/>
                <w:lang w:val="tr-TR"/>
              </w:rPr>
            </w:pPr>
          </w:p>
          <w:p w14:paraId="322FB0BD" w14:textId="7D6B8850" w:rsidR="008A5F6A" w:rsidRPr="00C66863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C66863">
              <w:rPr>
                <w:b/>
                <w:bCs/>
                <w:lang w:val="tr-TR"/>
              </w:rPr>
              <w:t>KL -</w:t>
            </w:r>
            <w:proofErr w:type="gramEnd"/>
            <w:r w:rsidRPr="00C66863">
              <w:rPr>
                <w:b/>
                <w:bCs/>
                <w:lang w:val="tr-TR"/>
              </w:rPr>
              <w:t xml:space="preserve"> </w:t>
            </w:r>
            <w:r w:rsidR="00815D05" w:rsidRPr="00C66863">
              <w:rPr>
                <w:b/>
                <w:bCs/>
                <w:lang w:val="tr-TR"/>
              </w:rPr>
              <w:t>33</w:t>
            </w:r>
          </w:p>
        </w:tc>
      </w:tr>
      <w:tr w:rsidR="008A5F6A" w:rsidRPr="007542AA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7542A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7542AA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7542AA">
              <w:rPr>
                <w:b/>
                <w:lang w:val="tr-TR"/>
              </w:rPr>
              <w:t>..…</w:t>
            </w:r>
            <w:proofErr w:type="gramEnd"/>
            <w:r w:rsidRPr="007542AA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7542A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7542AA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7542AA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7542AA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7542AA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7542AA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7542AA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7542AA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GEREKLİ</w:t>
            </w:r>
          </w:p>
          <w:p w14:paraId="4DF9EBDF" w14:textId="77777777" w:rsidR="008A5F6A" w:rsidRPr="007542AA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7542AA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7542AA">
              <w:rPr>
                <w:b/>
                <w:sz w:val="18"/>
                <w:lang w:val="tr-TR"/>
              </w:rPr>
              <w:t>AÇIKLAMALAR</w:t>
            </w:r>
          </w:p>
        </w:tc>
      </w:tr>
      <w:tr w:rsidR="007542AA" w:rsidRPr="007542AA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7E929191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611200D5" w:rsidR="007542AA" w:rsidRPr="007542AA" w:rsidRDefault="007542AA" w:rsidP="007542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Kimyasal atıkların imhası için gerekli olan ihtiyaçların belirlenmesi için’ ’Atık Sınıflandırma’’ değerlendirmeleri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4817B6F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5A706A06" w:rsidR="007542AA" w:rsidRPr="007542AA" w:rsidRDefault="007542AA" w:rsidP="007542AA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Dönüştürülebilen malzemelerin geri kazanımı için gerekli ayırma ve sınıflandırma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1413BD52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056D4617" w:rsidR="007542AA" w:rsidRPr="007542AA" w:rsidRDefault="007542AA" w:rsidP="007542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İşlem sırasında ve hazırlık aşamalarında KKD kullanılıyor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E360D3B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60D14883" w:rsidR="007542AA" w:rsidRPr="007542AA" w:rsidRDefault="007542AA" w:rsidP="007542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Atık konteynırları ilk atık konulduktan sonra ambalajın üzerinden net olarak görünecek şekilde etiketleniyor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099C627F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476E1247" w:rsidR="007542AA" w:rsidRPr="007542AA" w:rsidRDefault="007542AA" w:rsidP="007542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Çalışanlar atık depolanmasını başlatmak için Kimyasal Depolama İstek formuyla başvurmuşlar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383C0924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130FDC09" w:rsidR="007542AA" w:rsidRPr="007542AA" w:rsidRDefault="007542AA" w:rsidP="007542AA">
            <w:pPr>
              <w:pStyle w:val="TableParagraph"/>
              <w:spacing w:line="242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Çalışanlar atık toplanmasını sağlamak için Kimyasal Toplama Talebi</w:t>
            </w:r>
            <w:r>
              <w:rPr>
                <w:lang w:val="tr-TR"/>
              </w:rPr>
              <w:t xml:space="preserve"> </w:t>
            </w:r>
            <w:r w:rsidRPr="007542AA">
              <w:rPr>
                <w:lang w:val="tr-TR"/>
              </w:rPr>
              <w:t>formu sunuyorlar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2C7A8694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00996011" w:rsidR="007542AA" w:rsidRPr="007542AA" w:rsidRDefault="007542AA" w:rsidP="007542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Atık bilgi formları eksiksiz doldurulup kayıt altına alınıyor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09C2FF69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ECD39D0" w:rsidR="007542AA" w:rsidRPr="007542AA" w:rsidRDefault="007542AA" w:rsidP="007542AA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Sınıflandırılan atıklar uygun alan ve koşullarda bekletiliyor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253F7187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4156C492" w:rsidR="007542AA" w:rsidRPr="007542AA" w:rsidRDefault="007542AA" w:rsidP="007542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Satın alınan kimyasalların geri dönüşümlü olmasına dikkat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34D1CFB5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34703472" w:rsidR="007542AA" w:rsidRPr="007542AA" w:rsidRDefault="007542AA" w:rsidP="007542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Kullanılmış tüm piller geri dönüşüme tabi tutuluyor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361828D6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4AC7B8F5" w:rsidR="007542AA" w:rsidRPr="007542AA" w:rsidRDefault="007542AA" w:rsidP="007542AA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>Kimyasallar zararsız veya daha az zararlı alternatifleri ile değiştiriliyor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6B0F6C23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9B47273" w:rsidR="007542AA" w:rsidRPr="007542AA" w:rsidRDefault="007542AA" w:rsidP="007542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7542AA">
              <w:rPr>
                <w:lang w:val="tr-TR"/>
              </w:rPr>
              <w:t xml:space="preserve">Çalışanlar kimyasal saçılmaların temizlenmesi için yetiştirilmiş ve </w:t>
            </w:r>
            <w:proofErr w:type="spellStart"/>
            <w:r w:rsidRPr="007542AA">
              <w:rPr>
                <w:lang w:val="tr-TR"/>
              </w:rPr>
              <w:t>teçhizatlandırılmışlar</w:t>
            </w:r>
            <w:proofErr w:type="spellEnd"/>
            <w:r w:rsidRPr="007542AA">
              <w:rPr>
                <w:lang w:val="tr-TR"/>
              </w:rPr>
              <w:t xml:space="preserve">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2A9789CF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128E907C" w:rsidR="007542AA" w:rsidRPr="007542AA" w:rsidRDefault="007542AA" w:rsidP="007542AA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7542AA">
              <w:rPr>
                <w:lang w:val="tr-TR"/>
              </w:rPr>
              <w:t>Dökülme ve sızıntılara karsı kullanılacak uygun donanım, malzeme ve ekipman hazır bulunduruluyor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0249A710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5E9AC543" w:rsidR="007542AA" w:rsidRPr="007542AA" w:rsidRDefault="007542AA" w:rsidP="007542AA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r w:rsidRPr="007542AA">
              <w:rPr>
                <w:lang w:val="tr-TR"/>
              </w:rPr>
              <w:t>İnce talaş, cilalar ve çözücüler gibi ürünler için ürün türünü ve ürünle ilişkili tehlikeleri (kanserojen, cila çözücü buharı, toz tehlikesi gibi) belirten semboller içeren uyarılar mevcut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728E7ADF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5F0CC48E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lang w:val="tr-TR"/>
              </w:rPr>
              <w:t>Talimatların hazırlanmasında ve güvenlik uygulamalarında istişare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07DD6C0F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6DC48B93" w:rsidR="007542AA" w:rsidRPr="007542AA" w:rsidRDefault="007542AA" w:rsidP="007542AA">
            <w:pPr>
              <w:pStyle w:val="TableParagraph"/>
              <w:spacing w:before="2"/>
              <w:ind w:left="102"/>
              <w:rPr>
                <w:rFonts w:ascii="Times New Roman"/>
                <w:lang w:val="tr-TR"/>
              </w:rPr>
            </w:pPr>
            <w:r>
              <w:rPr>
                <w:lang w:val="tr-TR"/>
              </w:rPr>
              <w:t>Üniversitede</w:t>
            </w:r>
            <w:r w:rsidRPr="007542AA">
              <w:rPr>
                <w:lang w:val="tr-TR"/>
              </w:rPr>
              <w:t xml:space="preserve"> kullanılan ve bulunan maddelere (yakıtlar, yağlar, lifler, çözücüler, temizlik ürünleri, boyalar, vernikler, yapıştırıcılar,</w:t>
            </w:r>
            <w:r>
              <w:rPr>
                <w:lang w:val="tr-TR"/>
              </w:rPr>
              <w:t xml:space="preserve"> </w:t>
            </w:r>
            <w:r w:rsidRPr="007542AA">
              <w:rPr>
                <w:lang w:val="tr-TR"/>
              </w:rPr>
              <w:t>mürekkepler, reçineler, böcek öldürücüler, ağır metaller, asitler,</w:t>
            </w:r>
            <w:r>
              <w:rPr>
                <w:lang w:val="tr-TR"/>
              </w:rPr>
              <w:t xml:space="preserve"> </w:t>
            </w:r>
            <w:r w:rsidRPr="007542AA">
              <w:rPr>
                <w:lang w:val="tr-TR"/>
              </w:rPr>
              <w:t>alkaliler, dumanlar, gazlar) ait risk değerlendirmesi için bir envanter kaydı mevcut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0743F920" w:rsidR="007542AA" w:rsidRPr="007542AA" w:rsidRDefault="007542AA" w:rsidP="007542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55B904A9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lang w:val="tr-TR"/>
              </w:rPr>
              <w:t>Pil, Yağ, Katı, Kentsel, Bitkisel, Radyoaktif, Tıbbi ve kentsel atıklarla ilgili yönetmeliklerin gereği için tedbirler alınmış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35F49E89" w:rsidR="007542AA" w:rsidRPr="007542AA" w:rsidRDefault="007542AA" w:rsidP="007542AA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7542AA">
              <w:rPr>
                <w:lang w:val="tr-TR"/>
              </w:rPr>
              <w:t>33.18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0472D121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lang w:val="tr-TR"/>
              </w:rPr>
              <w:t>Kullanılan yağ, yakıt gibi sıvıların kutularında uygun işaretleme yapılmış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7542AA" w:rsidRPr="007542AA" w:rsidRDefault="007542AA" w:rsidP="007542AA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7AFA7B2" w:rsidR="007542AA" w:rsidRPr="007542AA" w:rsidRDefault="007542AA" w:rsidP="007542AA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7542AA">
              <w:rPr>
                <w:b/>
                <w:lang w:val="tr-TR"/>
              </w:rPr>
              <w:t xml:space="preserve">Bu </w:t>
            </w:r>
            <w:r w:rsidR="00062802">
              <w:rPr>
                <w:b/>
                <w:lang w:val="tr-TR"/>
              </w:rPr>
              <w:t>listeye</w:t>
            </w:r>
            <w:r w:rsidRPr="007542AA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79929C6" w14:textId="77777777" w:rsidTr="008D29BA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4B51CF9A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b/>
                <w:sz w:val="20"/>
                <w:lang w:val="tr-TR"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1AF17553" w14:textId="77777777" w:rsidTr="008D29BA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1AA0" w14:textId="1C962129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sz w:val="20"/>
                <w:lang w:val="tr-TR"/>
              </w:rPr>
              <w:t>* Kimyasal atıklar kanalizasyona boşaltılamaz, buharlaştırılamaz, çöpe atılamaz.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3A94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058F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3393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70DB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447336CE" w14:textId="77777777" w:rsidTr="008D29BA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A86" w14:textId="4682F00B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sz w:val="20"/>
                <w:lang w:val="tr-TR"/>
              </w:rPr>
              <w:t>* Geri dönüştürülmüş kimyasalların bildirilmesi normal atık bildirme prosedürleriyle gerçekleştirilir.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80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5D4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B97E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E871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7542AA" w:rsidRPr="007542AA" w14:paraId="08FE63B9" w14:textId="77777777" w:rsidTr="008D29BA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FF92" w14:textId="7F0362F2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  <w:r w:rsidRPr="007542AA">
              <w:rPr>
                <w:sz w:val="20"/>
                <w:lang w:val="tr-TR"/>
              </w:rPr>
              <w:lastRenderedPageBreak/>
              <w:t xml:space="preserve">* </w:t>
            </w:r>
            <w:r w:rsidR="00CD6081">
              <w:rPr>
                <w:sz w:val="20"/>
                <w:lang w:val="tr-TR"/>
              </w:rPr>
              <w:t>Üniversite</w:t>
            </w:r>
            <w:r w:rsidRPr="007542AA">
              <w:rPr>
                <w:sz w:val="20"/>
                <w:lang w:val="tr-TR"/>
              </w:rPr>
              <w:t xml:space="preserve"> </w:t>
            </w:r>
            <w:proofErr w:type="gramStart"/>
            <w:r w:rsidRPr="007542AA">
              <w:rPr>
                <w:sz w:val="20"/>
                <w:lang w:val="tr-TR"/>
              </w:rPr>
              <w:t>ekipmanlarından  alkali</w:t>
            </w:r>
            <w:proofErr w:type="gramEnd"/>
            <w:r w:rsidRPr="007542AA">
              <w:rPr>
                <w:sz w:val="20"/>
                <w:lang w:val="tr-TR"/>
              </w:rPr>
              <w:t xml:space="preserve">, kurşun asit, nikel kadmiyum, lityum ve </w:t>
            </w:r>
            <w:proofErr w:type="spellStart"/>
            <w:r w:rsidRPr="007542AA">
              <w:rPr>
                <w:sz w:val="20"/>
                <w:lang w:val="tr-TR"/>
              </w:rPr>
              <w:t>civa</w:t>
            </w:r>
            <w:proofErr w:type="spellEnd"/>
            <w:r w:rsidRPr="007542AA">
              <w:rPr>
                <w:sz w:val="20"/>
                <w:lang w:val="tr-TR"/>
              </w:rPr>
              <w:t xml:space="preserve"> dahil tüm pil çeşitlerini kabul etmektedir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75B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A670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25D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5E03" w14:textId="77777777" w:rsidR="007542AA" w:rsidRPr="007542AA" w:rsidRDefault="007542AA" w:rsidP="007542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062802" w:rsidRPr="00001B91" w14:paraId="16C0C3AA" w14:textId="77777777" w:rsidTr="00542CB8">
        <w:trPr>
          <w:trHeight w:val="419"/>
        </w:trPr>
        <w:tc>
          <w:tcPr>
            <w:tcW w:w="3343" w:type="dxa"/>
            <w:hideMark/>
          </w:tcPr>
          <w:p w14:paraId="3BF73BE0" w14:textId="77777777" w:rsidR="00062802" w:rsidRPr="00001B91" w:rsidRDefault="00062802" w:rsidP="00542CB8">
            <w:pPr>
              <w:jc w:val="center"/>
              <w:rPr>
                <w:lang w:val="en-US"/>
              </w:rPr>
            </w:pPr>
            <w:bookmarkStart w:id="0" w:name="_Hlk189582534"/>
            <w:proofErr w:type="spellStart"/>
            <w:r w:rsidRPr="00001B91">
              <w:rPr>
                <w:lang w:val="en-US"/>
              </w:rPr>
              <w:t>İşveren</w:t>
            </w:r>
            <w:proofErr w:type="spellEnd"/>
            <w:r w:rsidRPr="00001B91">
              <w:rPr>
                <w:lang w:val="en-US"/>
              </w:rPr>
              <w:t xml:space="preserve"> </w:t>
            </w:r>
            <w:proofErr w:type="spellStart"/>
            <w:r w:rsidRPr="00001B91">
              <w:rPr>
                <w:lang w:val="en-US"/>
              </w:rPr>
              <w:t>Vek</w:t>
            </w:r>
            <w:proofErr w:type="spellEnd"/>
            <w:r w:rsidRPr="00001B91">
              <w:rPr>
                <w:lang w:val="en-US"/>
              </w:rPr>
              <w:t>. (</w:t>
            </w:r>
            <w:proofErr w:type="spellStart"/>
            <w:proofErr w:type="gramStart"/>
            <w:r w:rsidRPr="00001B91">
              <w:rPr>
                <w:lang w:val="en-US"/>
              </w:rPr>
              <w:t>Dekan,YO</w:t>
            </w:r>
            <w:proofErr w:type="spellEnd"/>
            <w:proofErr w:type="gramEnd"/>
            <w:r w:rsidRPr="00001B91">
              <w:rPr>
                <w:lang w:val="en-US"/>
              </w:rPr>
              <w:t xml:space="preserve">/MYO/ENS/BR </w:t>
            </w:r>
            <w:proofErr w:type="spellStart"/>
            <w:r w:rsidRPr="00001B91">
              <w:rPr>
                <w:lang w:val="en-US"/>
              </w:rPr>
              <w:t>Müd</w:t>
            </w:r>
            <w:proofErr w:type="spellEnd"/>
            <w:r w:rsidRPr="00001B91">
              <w:rPr>
                <w:lang w:val="en-US"/>
              </w:rPr>
              <w:t>.)</w:t>
            </w:r>
          </w:p>
        </w:tc>
      </w:tr>
      <w:tr w:rsidR="00062802" w:rsidRPr="00001B91" w14:paraId="4D98FBF8" w14:textId="77777777" w:rsidTr="00542CB8">
        <w:trPr>
          <w:trHeight w:val="419"/>
        </w:trPr>
        <w:tc>
          <w:tcPr>
            <w:tcW w:w="3343" w:type="dxa"/>
            <w:hideMark/>
          </w:tcPr>
          <w:p w14:paraId="7C1F0893" w14:textId="77777777" w:rsidR="00062802" w:rsidRPr="00001B91" w:rsidRDefault="00062802" w:rsidP="00542CB8">
            <w:pPr>
              <w:jc w:val="center"/>
              <w:rPr>
                <w:lang w:val="en-US"/>
              </w:rPr>
            </w:pPr>
            <w:proofErr w:type="spellStart"/>
            <w:r w:rsidRPr="00001B91">
              <w:rPr>
                <w:lang w:val="en-US"/>
              </w:rPr>
              <w:t>İmza</w:t>
            </w:r>
            <w:proofErr w:type="spellEnd"/>
          </w:p>
        </w:tc>
      </w:tr>
      <w:bookmarkEnd w:id="0"/>
    </w:tbl>
    <w:p w14:paraId="37C1D14A" w14:textId="77777777" w:rsidR="00062802" w:rsidRDefault="00062802"/>
    <w:sectPr w:rsidR="00062802" w:rsidSect="00062802">
      <w:headerReference w:type="default" r:id="rId6"/>
      <w:footerReference w:type="default" r:id="rId7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ABA8" w14:textId="77777777" w:rsidR="00335E84" w:rsidRPr="007542AA" w:rsidRDefault="00335E84" w:rsidP="00D20557">
      <w:r w:rsidRPr="007542AA">
        <w:separator/>
      </w:r>
    </w:p>
  </w:endnote>
  <w:endnote w:type="continuationSeparator" w:id="0">
    <w:p w14:paraId="0BF23572" w14:textId="77777777" w:rsidR="00335E84" w:rsidRPr="007542AA" w:rsidRDefault="00335E84" w:rsidP="00D20557">
      <w:r w:rsidRPr="007542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062802" w:rsidRPr="00EA4623" w14:paraId="457BC887" w14:textId="77777777" w:rsidTr="00542CB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C9F6CA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1" w:name="_Hlk189582507"/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D8BAF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CB48C6B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062802" w:rsidRPr="00EA4623" w14:paraId="4A24709F" w14:textId="77777777" w:rsidTr="00542CB8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C8ACD9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9BD774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A52FB8" w14:textId="77777777" w:rsidR="00062802" w:rsidRPr="00EA4623" w:rsidRDefault="00062802" w:rsidP="0006280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  <w:bookmarkEnd w:id="1"/>
  </w:tbl>
  <w:p w14:paraId="3A2F8BF3" w14:textId="77777777" w:rsidR="00D20557" w:rsidRPr="007542AA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0E70" w14:textId="77777777" w:rsidR="00335E84" w:rsidRPr="007542AA" w:rsidRDefault="00335E84" w:rsidP="00D20557">
      <w:r w:rsidRPr="007542AA">
        <w:separator/>
      </w:r>
    </w:p>
  </w:footnote>
  <w:footnote w:type="continuationSeparator" w:id="0">
    <w:p w14:paraId="50FC507C" w14:textId="77777777" w:rsidR="00335E84" w:rsidRPr="007542AA" w:rsidRDefault="00335E84" w:rsidP="00D20557">
      <w:r w:rsidRPr="007542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062802" w:rsidRPr="00EA4623" w14:paraId="196462D9" w14:textId="77777777" w:rsidTr="00542CB8">
      <w:trPr>
        <w:trHeight w:val="287"/>
      </w:trPr>
      <w:tc>
        <w:tcPr>
          <w:tcW w:w="1418" w:type="dxa"/>
          <w:vMerge w:val="restart"/>
          <w:vAlign w:val="center"/>
        </w:tcPr>
        <w:p w14:paraId="2C0574CA" w14:textId="77777777" w:rsidR="00062802" w:rsidRPr="00EA4623" w:rsidRDefault="00062802" w:rsidP="00062802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4DCC8B03" wp14:editId="3AFDE3E8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685E41B9" w14:textId="77777777" w:rsidR="00062802" w:rsidRPr="00EA4623" w:rsidRDefault="00062802" w:rsidP="00062802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030C35F8" w14:textId="282A213B" w:rsidR="00062802" w:rsidRPr="00EA4623" w:rsidRDefault="00062802" w:rsidP="0006280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ATIKLAR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067F23D1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68DCFA9" w14:textId="3422E831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68</w:t>
          </w:r>
        </w:p>
      </w:tc>
    </w:tr>
    <w:tr w:rsidR="00062802" w:rsidRPr="00EA4623" w14:paraId="552F2926" w14:textId="77777777" w:rsidTr="00542CB8">
      <w:trPr>
        <w:trHeight w:val="287"/>
      </w:trPr>
      <w:tc>
        <w:tcPr>
          <w:tcW w:w="1418" w:type="dxa"/>
          <w:vMerge/>
          <w:vAlign w:val="center"/>
        </w:tcPr>
        <w:p w14:paraId="3B30EEEE" w14:textId="77777777" w:rsidR="00062802" w:rsidRPr="00EA4623" w:rsidRDefault="00062802" w:rsidP="0006280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F4B00F8" w14:textId="77777777" w:rsidR="00062802" w:rsidRPr="00EA4623" w:rsidRDefault="00062802" w:rsidP="00062802">
          <w:pPr>
            <w:pStyle w:val="stBilgi"/>
          </w:pPr>
        </w:p>
      </w:tc>
      <w:tc>
        <w:tcPr>
          <w:tcW w:w="1872" w:type="dxa"/>
          <w:vAlign w:val="center"/>
        </w:tcPr>
        <w:p w14:paraId="5B710222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196BBC9A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062802" w:rsidRPr="00EA4623" w14:paraId="6F79CA98" w14:textId="77777777" w:rsidTr="00542CB8">
      <w:trPr>
        <w:trHeight w:val="287"/>
      </w:trPr>
      <w:tc>
        <w:tcPr>
          <w:tcW w:w="1418" w:type="dxa"/>
          <w:vMerge/>
          <w:vAlign w:val="center"/>
        </w:tcPr>
        <w:p w14:paraId="0D4A8268" w14:textId="77777777" w:rsidR="00062802" w:rsidRPr="00EA4623" w:rsidRDefault="00062802" w:rsidP="0006280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E797CF6" w14:textId="77777777" w:rsidR="00062802" w:rsidRPr="00EA4623" w:rsidRDefault="00062802" w:rsidP="00062802">
          <w:pPr>
            <w:pStyle w:val="stBilgi"/>
          </w:pPr>
        </w:p>
      </w:tc>
      <w:tc>
        <w:tcPr>
          <w:tcW w:w="1872" w:type="dxa"/>
          <w:vAlign w:val="center"/>
        </w:tcPr>
        <w:p w14:paraId="15BBD784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2479707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062802" w:rsidRPr="00EA4623" w14:paraId="1A226A6E" w14:textId="77777777" w:rsidTr="00542CB8">
      <w:trPr>
        <w:trHeight w:val="287"/>
      </w:trPr>
      <w:tc>
        <w:tcPr>
          <w:tcW w:w="1418" w:type="dxa"/>
          <w:vMerge/>
          <w:vAlign w:val="center"/>
        </w:tcPr>
        <w:p w14:paraId="2E5E2E5E" w14:textId="77777777" w:rsidR="00062802" w:rsidRPr="00EA4623" w:rsidRDefault="00062802" w:rsidP="0006280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E259D71" w14:textId="77777777" w:rsidR="00062802" w:rsidRPr="00EA4623" w:rsidRDefault="00062802" w:rsidP="00062802">
          <w:pPr>
            <w:pStyle w:val="stBilgi"/>
          </w:pPr>
        </w:p>
      </w:tc>
      <w:tc>
        <w:tcPr>
          <w:tcW w:w="1872" w:type="dxa"/>
          <w:vAlign w:val="center"/>
        </w:tcPr>
        <w:p w14:paraId="3415FB54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4A5781FC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062802" w:rsidRPr="00EA4623" w14:paraId="765C4B95" w14:textId="77777777" w:rsidTr="00542CB8">
      <w:trPr>
        <w:trHeight w:val="287"/>
      </w:trPr>
      <w:tc>
        <w:tcPr>
          <w:tcW w:w="1418" w:type="dxa"/>
          <w:vMerge/>
          <w:vAlign w:val="center"/>
        </w:tcPr>
        <w:p w14:paraId="3559B52F" w14:textId="77777777" w:rsidR="00062802" w:rsidRPr="00EA4623" w:rsidRDefault="00062802" w:rsidP="0006280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D88A0E4" w14:textId="77777777" w:rsidR="00062802" w:rsidRPr="00EA4623" w:rsidRDefault="00062802" w:rsidP="00062802">
          <w:pPr>
            <w:pStyle w:val="stBilgi"/>
          </w:pPr>
        </w:p>
      </w:tc>
      <w:tc>
        <w:tcPr>
          <w:tcW w:w="1872" w:type="dxa"/>
          <w:vAlign w:val="center"/>
        </w:tcPr>
        <w:p w14:paraId="0D913C59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17C4DCEE" w14:textId="77777777" w:rsidR="00062802" w:rsidRPr="00EA4623" w:rsidRDefault="00062802" w:rsidP="0006280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7542AA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62802"/>
    <w:rsid w:val="00074574"/>
    <w:rsid w:val="000D5595"/>
    <w:rsid w:val="00145D2A"/>
    <w:rsid w:val="00203167"/>
    <w:rsid w:val="002163A0"/>
    <w:rsid w:val="00297CA6"/>
    <w:rsid w:val="0032523B"/>
    <w:rsid w:val="00332920"/>
    <w:rsid w:val="00335E84"/>
    <w:rsid w:val="00380325"/>
    <w:rsid w:val="003B2714"/>
    <w:rsid w:val="003C0BAF"/>
    <w:rsid w:val="003C4CA5"/>
    <w:rsid w:val="003D6B1D"/>
    <w:rsid w:val="00452F88"/>
    <w:rsid w:val="004A7999"/>
    <w:rsid w:val="004C675D"/>
    <w:rsid w:val="005F663E"/>
    <w:rsid w:val="0073060B"/>
    <w:rsid w:val="007542AA"/>
    <w:rsid w:val="007C1BF0"/>
    <w:rsid w:val="00815D05"/>
    <w:rsid w:val="00854521"/>
    <w:rsid w:val="00876EEE"/>
    <w:rsid w:val="008A5F6A"/>
    <w:rsid w:val="008B612F"/>
    <w:rsid w:val="008E1C0B"/>
    <w:rsid w:val="00962FF2"/>
    <w:rsid w:val="00980C75"/>
    <w:rsid w:val="00A031E9"/>
    <w:rsid w:val="00A26EC5"/>
    <w:rsid w:val="00A713B9"/>
    <w:rsid w:val="00A764CB"/>
    <w:rsid w:val="00AB69BA"/>
    <w:rsid w:val="00AD2336"/>
    <w:rsid w:val="00AD7A11"/>
    <w:rsid w:val="00AE104A"/>
    <w:rsid w:val="00B35A0F"/>
    <w:rsid w:val="00B46FCF"/>
    <w:rsid w:val="00B85A88"/>
    <w:rsid w:val="00BF0B24"/>
    <w:rsid w:val="00C01AE5"/>
    <w:rsid w:val="00C41CDE"/>
    <w:rsid w:val="00C66863"/>
    <w:rsid w:val="00C80AEF"/>
    <w:rsid w:val="00CA6522"/>
    <w:rsid w:val="00CD6081"/>
    <w:rsid w:val="00D20557"/>
    <w:rsid w:val="00D765C6"/>
    <w:rsid w:val="00DC5919"/>
    <w:rsid w:val="00DF0F46"/>
    <w:rsid w:val="00E4061B"/>
    <w:rsid w:val="00E96F72"/>
    <w:rsid w:val="00EB3559"/>
    <w:rsid w:val="00EC1086"/>
    <w:rsid w:val="00ED7026"/>
    <w:rsid w:val="00F20121"/>
    <w:rsid w:val="00F75462"/>
    <w:rsid w:val="00FA557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33</cp:revision>
  <dcterms:created xsi:type="dcterms:W3CDTF">2025-01-30T13:18:00Z</dcterms:created>
  <dcterms:modified xsi:type="dcterms:W3CDTF">2025-02-04T14:29:00Z</dcterms:modified>
</cp:coreProperties>
</file>