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60A6" w14:textId="77777777" w:rsidR="0000303E" w:rsidRDefault="0000303E" w:rsidP="00BA764E">
      <w:pPr>
        <w:pStyle w:val="Balk1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>
              <w:rPr>
                <w:rStyle w:val="Gl"/>
                <w:bCs/>
                <w:color w:val="000000"/>
              </w:rPr>
              <w:t>Alaaddin</w:t>
            </w:r>
            <w:proofErr w:type="spellEnd"/>
            <w:r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66D70E12" w14:textId="77777777" w:rsidR="0035400D" w:rsidRDefault="0035400D" w:rsidP="0035400D">
            <w:pPr>
              <w:pStyle w:val="stBilgi"/>
              <w:rPr>
                <w:b/>
              </w:rPr>
            </w:pPr>
            <w:r>
              <w:rPr>
                <w:b/>
              </w:rPr>
              <w:t>Strateji Geliştirme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E02CFD" w:rsidRPr="00F914F7" w14:paraId="53A4C3C7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60DF478A" w14:textId="4535DA68" w:rsidR="00E02CFD" w:rsidRPr="00F914F7" w:rsidRDefault="00E02CFD" w:rsidP="008E218B">
            <w:pPr>
              <w:rPr>
                <w:b/>
              </w:rPr>
            </w:pPr>
            <w:r>
              <w:rPr>
                <w:b/>
              </w:rPr>
              <w:t>Görev Birimi</w:t>
            </w:r>
          </w:p>
        </w:tc>
        <w:tc>
          <w:tcPr>
            <w:tcW w:w="8217" w:type="dxa"/>
            <w:vAlign w:val="center"/>
          </w:tcPr>
          <w:p w14:paraId="70C86A59" w14:textId="2FE80074" w:rsidR="00E02CFD" w:rsidRPr="00E02CFD" w:rsidRDefault="00BA764E" w:rsidP="0035400D">
            <w:pPr>
              <w:pStyle w:val="stBilgi"/>
              <w:rPr>
                <w:bCs/>
              </w:rPr>
            </w:pPr>
            <w:r w:rsidRPr="00E02CFD">
              <w:rPr>
                <w:bCs/>
              </w:rPr>
              <w:t>Bütçe ve Performans Şube Müdürlüğü</w:t>
            </w:r>
            <w:r>
              <w:rPr>
                <w:bCs/>
              </w:rPr>
              <w:t>. Stratejik Yönetim ve Planlama Şube Müdürlüğü</w:t>
            </w: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2C7053F3" w:rsidR="00100D25" w:rsidRPr="00F914F7" w:rsidRDefault="00E02CFD" w:rsidP="008E218B">
            <w:r>
              <w:t>Şube Müdürü</w:t>
            </w:r>
          </w:p>
        </w:tc>
      </w:tr>
      <w:tr w:rsidR="00106472" w:rsidRPr="00F914F7" w14:paraId="241CA451" w14:textId="77777777" w:rsidTr="0085331B">
        <w:trPr>
          <w:trHeight w:val="727"/>
        </w:trPr>
        <w:tc>
          <w:tcPr>
            <w:tcW w:w="2093" w:type="dxa"/>
            <w:vAlign w:val="center"/>
          </w:tcPr>
          <w:p w14:paraId="55F0A784" w14:textId="77777777" w:rsidR="00106472" w:rsidRDefault="00106472" w:rsidP="00106472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0C574527" w:rsidR="00106472" w:rsidRPr="00F914F7" w:rsidRDefault="00106472" w:rsidP="00106472">
            <w:proofErr w:type="gramStart"/>
            <w:r>
              <w:rPr>
                <w:b/>
                <w:lang w:eastAsia="en-US"/>
              </w:rPr>
              <w:t>Vekalet</w:t>
            </w:r>
            <w:proofErr w:type="gramEnd"/>
            <w:r>
              <w:rPr>
                <w:b/>
                <w:lang w:eastAsia="en-US"/>
              </w:rPr>
              <w:t xml:space="preserve"> Edecek Kişi</w:t>
            </w:r>
          </w:p>
        </w:tc>
        <w:tc>
          <w:tcPr>
            <w:tcW w:w="8217" w:type="dxa"/>
          </w:tcPr>
          <w:p w14:paraId="0B04A69D" w14:textId="77777777" w:rsidR="00106472" w:rsidRDefault="00106472" w:rsidP="00106472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4C78866A" w:rsidR="00106472" w:rsidRPr="00F914F7" w:rsidRDefault="00106472" w:rsidP="00106472">
            <w:r>
              <w:rPr>
                <w:lang w:eastAsia="en-US"/>
              </w:rPr>
              <w:t>Görevlendirilen personel</w:t>
            </w:r>
          </w:p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70483AF4" w:rsidR="00055831" w:rsidRPr="00DC7529" w:rsidRDefault="00463BD2" w:rsidP="00463BD2">
            <w:pPr>
              <w:pStyle w:val="ListeParagraf"/>
              <w:ind w:left="35"/>
              <w:jc w:val="both"/>
            </w:pPr>
            <w:proofErr w:type="gramStart"/>
            <w:r>
              <w:t>Gelir, gider, varlık ve yükümlülüklere ilişkin malî karar ve işlemlerin üniversitemiz stratejik planı,</w:t>
            </w:r>
            <w:r w:rsidR="00DA0E38">
              <w:t xml:space="preserve"> </w:t>
            </w:r>
            <w:r w:rsidR="009A19BD">
              <w:t>p</w:t>
            </w:r>
            <w:r>
              <w:t xml:space="preserve">erformans programı, bütçesi, bütçe tertibi, kullanılabilir ödenek tutarı, ayrıntılı finansman programı, merkezi yönetim bütçe kanunu, iç kontrol ve diğer malî mevzuat hükümlerine uygunluk yönlerinden kontrol etmek </w:t>
            </w:r>
            <w:r w:rsidR="001D2CFC">
              <w:t>s</w:t>
            </w:r>
            <w:r>
              <w:t xml:space="preserve">tratejik </w:t>
            </w:r>
            <w:r w:rsidR="001D2CFC">
              <w:t>p</w:t>
            </w:r>
            <w:r>
              <w:t>lanın hazırlanması, güncellenmesi ve yenilenmesi çalışmalarında koordinasyon görevi yürütmek ve kontrol etmek.</w:t>
            </w:r>
            <w:proofErr w:type="gramEnd"/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1BE82BCC" w14:textId="5AF4DA0A" w:rsidR="0035400D" w:rsidRDefault="0035400D" w:rsidP="0035400D">
            <w:pPr>
              <w:pStyle w:val="ListeParagraf"/>
              <w:ind w:left="35"/>
              <w:jc w:val="both"/>
            </w:pPr>
            <w:r>
              <w:t xml:space="preserve">5018 sayılı Kamu Mali Yönetimi ve Kontrol Kanunu ile bu </w:t>
            </w:r>
            <w:r w:rsidR="00A01DF7">
              <w:t>k</w:t>
            </w:r>
            <w:r>
              <w:t>anuna dayanılarak yürürlüğe konulan mevzuat,</w:t>
            </w:r>
          </w:p>
          <w:p w14:paraId="6972290C" w14:textId="2F1835F3" w:rsidR="00055831" w:rsidRPr="00DC7529" w:rsidRDefault="0035400D" w:rsidP="0035400D">
            <w:pPr>
              <w:pStyle w:val="ListeParagraf"/>
              <w:ind w:left="35"/>
              <w:jc w:val="both"/>
            </w:pPr>
            <w:r>
              <w:t>Diğer Mevzuat</w:t>
            </w:r>
          </w:p>
        </w:tc>
      </w:tr>
      <w:tr w:rsidR="00100D25" w:rsidRPr="00F914F7" w14:paraId="675FBC05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7A58BF1C" w:rsidR="00100D25" w:rsidRPr="00DC7529" w:rsidRDefault="00AB25B0" w:rsidP="00AB25B0">
            <w:pPr>
              <w:jc w:val="both"/>
            </w:pPr>
            <w:r>
              <w:t xml:space="preserve">Analitik düşünebilme, </w:t>
            </w:r>
            <w:r w:rsidR="00517E31">
              <w:t>a</w:t>
            </w:r>
            <w:r>
              <w:t xml:space="preserve">naliz yapabilme, </w:t>
            </w:r>
            <w:r w:rsidR="00517E31">
              <w:t>d</w:t>
            </w:r>
            <w:r>
              <w:t xml:space="preserve">eğişim ve gelişime açık olma, </w:t>
            </w:r>
            <w:r w:rsidR="00517E31">
              <w:t>d</w:t>
            </w:r>
            <w:r>
              <w:t xml:space="preserve">üzenli ve disiplinli çalışma, </w:t>
            </w:r>
            <w:r w:rsidR="00517E31">
              <w:t>e</w:t>
            </w:r>
            <w:r>
              <w:t xml:space="preserve">kip çalışmasına uyumlu ve katılımcı, </w:t>
            </w:r>
            <w:r w:rsidR="00517E31">
              <w:t>e</w:t>
            </w:r>
            <w:r>
              <w:t xml:space="preserve">kip liderliği vasfı, </w:t>
            </w:r>
            <w:proofErr w:type="gramStart"/>
            <w:r w:rsidR="00517E31">
              <w:t>e</w:t>
            </w:r>
            <w:r>
              <w:t>mpati</w:t>
            </w:r>
            <w:proofErr w:type="gramEnd"/>
            <w:r>
              <w:t xml:space="preserve"> kurabilme, </w:t>
            </w:r>
            <w:r w:rsidR="00A01DF7">
              <w:t>h</w:t>
            </w:r>
            <w:r>
              <w:t xml:space="preserve">ızlı düşünme ve karar verebilme, </w:t>
            </w:r>
            <w:r w:rsidR="00A01DF7">
              <w:t>h</w:t>
            </w:r>
            <w:r>
              <w:t xml:space="preserve">oşgörülü olma, </w:t>
            </w:r>
            <w:r w:rsidR="00A01DF7">
              <w:t>i</w:t>
            </w:r>
            <w:r>
              <w:t xml:space="preserve">kna kabiliyeti, </w:t>
            </w:r>
            <w:r w:rsidR="00517E31">
              <w:t>k</w:t>
            </w:r>
            <w:r>
              <w:t xml:space="preserve">oordinasyon yapabilme, </w:t>
            </w:r>
            <w:r w:rsidR="00517E31">
              <w:t>k</w:t>
            </w:r>
            <w:r>
              <w:t xml:space="preserve">urumsal ve etik prensiplere bağlılık, </w:t>
            </w:r>
            <w:r w:rsidR="00517E31">
              <w:t>l</w:t>
            </w:r>
            <w:r>
              <w:t xml:space="preserve">iderlik vasfı, </w:t>
            </w:r>
            <w:r w:rsidR="00517E31">
              <w:t>m</w:t>
            </w:r>
            <w:r>
              <w:t xml:space="preserve">uhakeme yapabilme, </w:t>
            </w:r>
            <w:r w:rsidR="00517E31">
              <w:t>m</w:t>
            </w:r>
            <w:r>
              <w:t xml:space="preserve">üzakere edebilme, </w:t>
            </w:r>
            <w:r w:rsidR="00517E31">
              <w:t>p</w:t>
            </w:r>
            <w:r>
              <w:t xml:space="preserve">lanlama ve organizasyon yapabilme, </w:t>
            </w:r>
            <w:r w:rsidR="00517E31">
              <w:t>s</w:t>
            </w:r>
            <w:r>
              <w:t xml:space="preserve">abırlı olma, </w:t>
            </w:r>
            <w:r w:rsidR="00517E31">
              <w:t>s</w:t>
            </w:r>
            <w:r>
              <w:t>istemli düşünme gücüne sahip olma,</w:t>
            </w:r>
            <w:r w:rsidR="00A01DF7">
              <w:t xml:space="preserve"> </w:t>
            </w:r>
            <w:r w:rsidR="00517E31">
              <w:t>s</w:t>
            </w:r>
            <w:r>
              <w:t xml:space="preserve">orumluluk alabilme, </w:t>
            </w:r>
            <w:r w:rsidR="00517E31">
              <w:t>s</w:t>
            </w:r>
            <w:r>
              <w:t xml:space="preserve">orun çözebilme, temsil kabiliyeti, </w:t>
            </w:r>
            <w:r w:rsidR="00517E31">
              <w:t>ü</w:t>
            </w:r>
            <w:r>
              <w:t xml:space="preserve">st ve astlarla diyalog, </w:t>
            </w:r>
            <w:r w:rsidR="00517E31">
              <w:t>y</w:t>
            </w:r>
            <w:r>
              <w:t xml:space="preserve">önetici vasfı, </w:t>
            </w:r>
            <w:r w:rsidR="00517E31">
              <w:t>z</w:t>
            </w:r>
            <w:r>
              <w:t xml:space="preserve">aman </w:t>
            </w:r>
            <w:r w:rsidR="00517E31">
              <w:t>y</w:t>
            </w:r>
            <w:r>
              <w:t xml:space="preserve">önetimi. 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13EABFDB" w14:textId="0575C2CA" w:rsidR="00100D25" w:rsidRDefault="00055831" w:rsidP="008E218B">
            <w:pPr>
              <w:jc w:val="both"/>
            </w:pPr>
            <w:r w:rsidRPr="00EC3764">
              <w:t>Standart: 2. Misyon, organizasyon yapısı ve görevler</w:t>
            </w:r>
          </w:p>
          <w:p w14:paraId="2FCEF154" w14:textId="77777777" w:rsidR="00100D25" w:rsidRPr="00DC7529" w:rsidRDefault="00100D25" w:rsidP="008E218B">
            <w:pPr>
              <w:pStyle w:val="ListeParagraf"/>
              <w:ind w:left="35"/>
              <w:jc w:val="both"/>
            </w:pP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914F7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3646BAC6" w14:textId="10785479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Stratejik Yönetim ve Planlama Şube Müdürlüğü</w:t>
            </w:r>
            <w:r w:rsidR="00417B02">
              <w:t xml:space="preserve"> ve </w:t>
            </w:r>
            <w:r w:rsidR="00417B02" w:rsidRPr="00E02CFD">
              <w:rPr>
                <w:bCs/>
              </w:rPr>
              <w:t>Bütçe ve Performans Şube Müdürlüğü</w:t>
            </w:r>
            <w:r>
              <w:t>nün görev tanımındaki temel iş ve sorumlukları yerine getirmek</w:t>
            </w:r>
            <w:r w:rsidR="00613EBD">
              <w:t>,</w:t>
            </w:r>
          </w:p>
          <w:p w14:paraId="79476AAD" w14:textId="62A4C016" w:rsidR="00613EBD" w:rsidRDefault="00613EBD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İdarenin stratejik planlama çalınmalarına yönelik bir hazırlık programı oluşturmak, idarenin stratejik planlama sürecinde ihtiyaç duyulacak eğitim ve danışmanlık hizmetlerini vermek veya verilmesini sağlamak ve stratejik planlama çalışmalarını koordine etmek,</w:t>
            </w:r>
          </w:p>
          <w:p w14:paraId="2E184638" w14:textId="14B3910F" w:rsidR="00613EBD" w:rsidRDefault="00613EBD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Kurum içi kapasite arttırması yapmak, hizmetlerin etkililiğini ve yararlanıcı memnuniyetini analiz etmek ve genel araştırmalar yapmak,</w:t>
            </w:r>
          </w:p>
          <w:p w14:paraId="755DAE81" w14:textId="503002B8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Kurumsal mali durum ve beklentiler raporunu hazırlamak,</w:t>
            </w:r>
          </w:p>
          <w:p w14:paraId="652214E7" w14:textId="60B94AC6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Görevleriyle ilgili mevzuatın uygulanmasına ilişkin görüş ve önerilerini bildirmek,</w:t>
            </w:r>
          </w:p>
          <w:p w14:paraId="643C3B4F" w14:textId="3087F54C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lastRenderedPageBreak/>
              <w:t xml:space="preserve">Kamu </w:t>
            </w:r>
            <w:r w:rsidR="006260DD">
              <w:t>y</w:t>
            </w:r>
            <w:r>
              <w:t xml:space="preserve">atırımların takibi ve kurum yatırımlarının 3 aylık </w:t>
            </w:r>
            <w:proofErr w:type="gramStart"/>
            <w:r>
              <w:t>periyotlarda</w:t>
            </w:r>
            <w:proofErr w:type="gramEnd"/>
            <w:r>
              <w:t xml:space="preserve"> valiliğe gönderilmek üzere raporlanması, Kamu Yatırım Programı İzleme ve Değerlendirme Raporunu hazırlamak</w:t>
            </w:r>
          </w:p>
          <w:p w14:paraId="75BC3963" w14:textId="628A55FB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Bütçe teklifi hazırlama ve uygulama işlemlerini yapmak,</w:t>
            </w:r>
          </w:p>
          <w:p w14:paraId="50F27630" w14:textId="66EBB303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Ödenek Gönderme, Ödenek Aktarma, Ekleme, Tenkis İşlemlerini Yapmak</w:t>
            </w:r>
          </w:p>
          <w:p w14:paraId="04169F20" w14:textId="10233804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 xml:space="preserve">Bütçe </w:t>
            </w:r>
            <w:r w:rsidR="00F44ACD">
              <w:t>f</w:t>
            </w:r>
            <w:r>
              <w:t xml:space="preserve">işlerini </w:t>
            </w:r>
            <w:r w:rsidR="00F44ACD">
              <w:t>g</w:t>
            </w:r>
            <w:r>
              <w:t>irmek</w:t>
            </w:r>
            <w:r w:rsidR="00F44ACD">
              <w:t>,</w:t>
            </w:r>
            <w:r>
              <w:t xml:space="preserve"> </w:t>
            </w:r>
            <w:r w:rsidR="00F44ACD">
              <w:t>g</w:t>
            </w:r>
            <w:r>
              <w:t xml:space="preserve">elir </w:t>
            </w:r>
            <w:r w:rsidR="00F44ACD">
              <w:t>d</w:t>
            </w:r>
            <w:r>
              <w:t xml:space="preserve">ağılımları ve </w:t>
            </w:r>
            <w:r w:rsidR="00F44ACD">
              <w:t>g</w:t>
            </w:r>
            <w:r>
              <w:t xml:space="preserve">erçekleşmeleri </w:t>
            </w:r>
            <w:r w:rsidR="00F44ACD">
              <w:t>t</w:t>
            </w:r>
            <w:r>
              <w:t xml:space="preserve">akip </w:t>
            </w:r>
            <w:r w:rsidR="00F44ACD">
              <w:t>e</w:t>
            </w:r>
            <w:r>
              <w:t>tmek</w:t>
            </w:r>
          </w:p>
          <w:p w14:paraId="12970630" w14:textId="5E5FD835" w:rsidR="00463BD2" w:rsidRDefault="00463BD2" w:rsidP="00463BD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 xml:space="preserve">AFP/AHP </w:t>
            </w:r>
            <w:r w:rsidR="00F44ACD">
              <w:t>h</w:t>
            </w:r>
            <w:r>
              <w:t>azırlamak</w:t>
            </w:r>
            <w:r w:rsidR="00531E33">
              <w:t>,</w:t>
            </w:r>
          </w:p>
          <w:p w14:paraId="0A76D6D2" w14:textId="44ADF676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Birimindeki memurlar tarafından hazırlanan yazı ve dosyaları içerik ve biçim yönünden inceleyerek gerekli düzeltmelerin yapılmasını sağlamak,</w:t>
            </w:r>
          </w:p>
          <w:p w14:paraId="2698EDBB" w14:textId="05016AC8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Tamamlanmış olan evrak ve dosyaları ilgililere dağıtarak kontrollerini yaptırma ve sevk memurlarına verilmesini sağlamak,</w:t>
            </w:r>
          </w:p>
          <w:p w14:paraId="53E4DAE0" w14:textId="5BFA7CBB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İşlemi bitmemiş evrakı ilgili memuru ile birlikte izleyerek sonuçlandırmak,</w:t>
            </w:r>
          </w:p>
          <w:p w14:paraId="5A4103F5" w14:textId="67F79D40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Biriminde bulunan memurları hizmete ilişkin işlemler konusunda aydınlatmak, işlerin verimliliğini arttırmak için yöntemler geliştirmek,</w:t>
            </w:r>
          </w:p>
          <w:p w14:paraId="0B41C691" w14:textId="4C9FD58B" w:rsidR="00463BD2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 xml:space="preserve">Daire </w:t>
            </w:r>
            <w:r w:rsidR="00F44ACD">
              <w:t>b</w:t>
            </w:r>
            <w:r>
              <w:t>aşkanının vereceği benzer diğer iş ve işlemleri yapmak,</w:t>
            </w:r>
          </w:p>
          <w:p w14:paraId="5BAB5E65" w14:textId="756B661D" w:rsidR="004640C5" w:rsidRPr="00D530AF" w:rsidRDefault="00463BD2" w:rsidP="00417B02">
            <w:pPr>
              <w:pStyle w:val="ListeParagraf"/>
              <w:numPr>
                <w:ilvl w:val="0"/>
                <w:numId w:val="19"/>
              </w:numPr>
              <w:tabs>
                <w:tab w:val="left" w:pos="411"/>
              </w:tabs>
              <w:jc w:val="both"/>
            </w:pPr>
            <w:r>
              <w:t>Görevlerinden dolayı amirlerine karşı sorumludur.</w:t>
            </w:r>
          </w:p>
        </w:tc>
      </w:tr>
      <w:tr w:rsidR="00100D25" w:rsidRPr="00F914F7" w14:paraId="398EB97E" w14:textId="77777777" w:rsidTr="00813279">
        <w:trPr>
          <w:trHeight w:val="2572"/>
        </w:trPr>
        <w:tc>
          <w:tcPr>
            <w:tcW w:w="10310" w:type="dxa"/>
            <w:gridSpan w:val="2"/>
          </w:tcPr>
          <w:p w14:paraId="3F584288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lastRenderedPageBreak/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B95638">
        <w:trPr>
          <w:trHeight w:val="813"/>
        </w:trPr>
        <w:tc>
          <w:tcPr>
            <w:tcW w:w="10310" w:type="dxa"/>
            <w:gridSpan w:val="2"/>
          </w:tcPr>
          <w:p w14:paraId="336EEFA4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6DC90E2" w14:textId="5D845421" w:rsidR="00100D25" w:rsidRDefault="00E02CFD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6C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AB2B" w14:textId="77777777" w:rsidR="000A613C" w:rsidRDefault="000A613C" w:rsidP="00FE477C">
      <w:r>
        <w:separator/>
      </w:r>
    </w:p>
  </w:endnote>
  <w:endnote w:type="continuationSeparator" w:id="0">
    <w:p w14:paraId="29A26C3D" w14:textId="77777777" w:rsidR="000A613C" w:rsidRDefault="000A613C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9856" w14:textId="77777777" w:rsidR="00106472" w:rsidRDefault="00106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6C15A1" w14:paraId="51D87FC7" w14:textId="77777777" w:rsidTr="006C15A1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CC5B0D" w14:textId="77777777" w:rsidR="006C15A1" w:rsidRPr="00106472" w:rsidRDefault="006C15A1" w:rsidP="006C15A1">
          <w:pPr>
            <w:spacing w:line="276" w:lineRule="auto"/>
            <w:rPr>
              <w:bCs/>
              <w:lang w:eastAsia="en-US"/>
            </w:rPr>
          </w:pPr>
          <w:r w:rsidRPr="00106472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CDD99D" w14:textId="77777777" w:rsidR="006C15A1" w:rsidRPr="00106472" w:rsidRDefault="006C15A1" w:rsidP="006C15A1">
          <w:pPr>
            <w:spacing w:line="276" w:lineRule="auto"/>
            <w:rPr>
              <w:bCs/>
              <w:lang w:eastAsia="en-US"/>
            </w:rPr>
          </w:pPr>
          <w:r w:rsidRPr="00106472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22385A" w14:textId="77777777" w:rsidR="006C15A1" w:rsidRPr="00106472" w:rsidRDefault="006C15A1" w:rsidP="006C15A1">
          <w:pPr>
            <w:spacing w:line="276" w:lineRule="auto"/>
            <w:rPr>
              <w:bCs/>
              <w:lang w:eastAsia="en-US"/>
            </w:rPr>
          </w:pPr>
          <w:r w:rsidRPr="00106472">
            <w:rPr>
              <w:bCs/>
              <w:lang w:eastAsia="en-US"/>
            </w:rPr>
            <w:t xml:space="preserve">                Yürürlük Onayı</w:t>
          </w:r>
        </w:p>
      </w:tc>
    </w:tr>
    <w:tr w:rsidR="006C15A1" w14:paraId="6609D529" w14:textId="77777777" w:rsidTr="006C15A1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AAE023" w14:textId="77777777" w:rsidR="006C15A1" w:rsidRPr="00106472" w:rsidRDefault="006C15A1" w:rsidP="006C15A1">
          <w:pPr>
            <w:spacing w:line="276" w:lineRule="auto"/>
            <w:rPr>
              <w:bCs/>
              <w:lang w:eastAsia="en-US"/>
            </w:rPr>
          </w:pPr>
          <w:r w:rsidRPr="00106472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659FAB" w14:textId="77777777" w:rsidR="006C15A1" w:rsidRPr="00106472" w:rsidRDefault="006C15A1" w:rsidP="006C15A1">
          <w:pPr>
            <w:spacing w:line="276" w:lineRule="auto"/>
            <w:rPr>
              <w:bCs/>
              <w:lang w:eastAsia="en-US"/>
            </w:rPr>
          </w:pPr>
          <w:r w:rsidRPr="00106472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AB2DD2" w14:textId="77777777" w:rsidR="006C15A1" w:rsidRPr="00106472" w:rsidRDefault="006C15A1" w:rsidP="006C15A1">
          <w:pPr>
            <w:spacing w:line="276" w:lineRule="auto"/>
            <w:rPr>
              <w:bCs/>
              <w:lang w:eastAsia="en-US"/>
            </w:rPr>
          </w:pPr>
          <w:r w:rsidRPr="00106472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E793" w14:textId="77777777" w:rsidR="00106472" w:rsidRDefault="00106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6169" w14:textId="77777777" w:rsidR="000A613C" w:rsidRDefault="000A613C" w:rsidP="00FE477C">
      <w:r>
        <w:separator/>
      </w:r>
    </w:p>
  </w:footnote>
  <w:footnote w:type="continuationSeparator" w:id="0">
    <w:p w14:paraId="0A53AA67" w14:textId="77777777" w:rsidR="000A613C" w:rsidRDefault="000A613C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A695" w14:textId="77777777" w:rsidR="00106472" w:rsidRDefault="001064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106472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57B03ED8" w14:textId="626AD9B1" w:rsidR="00E02CFD" w:rsidRPr="00106472" w:rsidRDefault="006C15A1" w:rsidP="00AC57FF">
          <w:pPr>
            <w:pStyle w:val="stBilgi"/>
            <w:jc w:val="center"/>
            <w:rPr>
              <w:b/>
            </w:rPr>
          </w:pPr>
          <w:r w:rsidRPr="00106472">
            <w:rPr>
              <w:b/>
            </w:rPr>
            <w:t>ŞUBE MÜDÜRÜ</w:t>
          </w:r>
        </w:p>
        <w:p w14:paraId="77CC0C63" w14:textId="6096CDCA" w:rsidR="00AC57FF" w:rsidRPr="00106472" w:rsidRDefault="006C15A1" w:rsidP="00AC57FF">
          <w:pPr>
            <w:pStyle w:val="stBilgi"/>
            <w:jc w:val="center"/>
            <w:rPr>
              <w:b/>
            </w:rPr>
          </w:pPr>
          <w:r w:rsidRPr="00106472">
            <w:rPr>
              <w:b/>
            </w:rPr>
            <w:t>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106472" w:rsidRDefault="00AC57FF" w:rsidP="00AC57FF">
          <w:pPr>
            <w:pStyle w:val="stBilgi"/>
          </w:pPr>
          <w:r w:rsidRPr="00106472">
            <w:t>Doküman No</w:t>
          </w:r>
        </w:p>
      </w:tc>
      <w:tc>
        <w:tcPr>
          <w:tcW w:w="1417" w:type="dxa"/>
          <w:vAlign w:val="center"/>
        </w:tcPr>
        <w:p w14:paraId="3CF179C9" w14:textId="7552906E" w:rsidR="00AC57FF" w:rsidRPr="00106472" w:rsidRDefault="008E29BD" w:rsidP="00AC57FF">
          <w:pPr>
            <w:pStyle w:val="stBilgi"/>
            <w:rPr>
              <w:b/>
            </w:rPr>
          </w:pPr>
          <w:r w:rsidRPr="00106472">
            <w:rPr>
              <w:b/>
            </w:rPr>
            <w:t>GT.258</w:t>
          </w:r>
        </w:p>
      </w:tc>
    </w:tr>
    <w:tr w:rsidR="00AC57FF" w:rsidRPr="00151E02" w14:paraId="2577779F" w14:textId="77777777" w:rsidTr="00106472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10647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106472" w:rsidRDefault="00AC57FF" w:rsidP="00AC57FF">
          <w:pPr>
            <w:pStyle w:val="stBilgi"/>
          </w:pPr>
          <w:r w:rsidRPr="00106472">
            <w:t>İlk Yayın Tarihi</w:t>
          </w:r>
        </w:p>
      </w:tc>
      <w:tc>
        <w:tcPr>
          <w:tcW w:w="1417" w:type="dxa"/>
          <w:vAlign w:val="center"/>
        </w:tcPr>
        <w:p w14:paraId="63F41286" w14:textId="018F014F" w:rsidR="00AC57FF" w:rsidRPr="00106472" w:rsidRDefault="008E29BD" w:rsidP="00AC57FF">
          <w:pPr>
            <w:pStyle w:val="stBilgi"/>
            <w:rPr>
              <w:b/>
            </w:rPr>
          </w:pPr>
          <w:r w:rsidRPr="00106472">
            <w:rPr>
              <w:b/>
            </w:rPr>
            <w:t>12.10.2021</w:t>
          </w:r>
        </w:p>
      </w:tc>
    </w:tr>
    <w:tr w:rsidR="00AC57FF" w:rsidRPr="00151E02" w14:paraId="02597B27" w14:textId="77777777" w:rsidTr="00106472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10647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106472" w:rsidRDefault="00AC57FF" w:rsidP="00AC57FF">
          <w:pPr>
            <w:pStyle w:val="stBilgi"/>
          </w:pPr>
          <w:r w:rsidRPr="00106472">
            <w:t>Revizyon Tarihi</w:t>
          </w:r>
        </w:p>
      </w:tc>
      <w:tc>
        <w:tcPr>
          <w:tcW w:w="1417" w:type="dxa"/>
          <w:vAlign w:val="center"/>
        </w:tcPr>
        <w:p w14:paraId="43F3FDB9" w14:textId="4999B1DC" w:rsidR="00AC57FF" w:rsidRPr="00106472" w:rsidRDefault="00500A1E" w:rsidP="00AC57FF">
          <w:pPr>
            <w:pStyle w:val="stBilgi"/>
            <w:rPr>
              <w:b/>
            </w:rPr>
          </w:pPr>
          <w:r>
            <w:rPr>
              <w:b/>
            </w:rPr>
            <w:t>30.11.2023</w:t>
          </w:r>
        </w:p>
      </w:tc>
    </w:tr>
    <w:tr w:rsidR="00AC57FF" w:rsidRPr="00151E02" w14:paraId="771A75D1" w14:textId="77777777" w:rsidTr="00106472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10647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106472" w:rsidRDefault="00AC57FF" w:rsidP="00AC57FF">
          <w:pPr>
            <w:pStyle w:val="stBilgi"/>
          </w:pPr>
          <w:r w:rsidRPr="00106472">
            <w:t>Revizyon No</w:t>
          </w:r>
        </w:p>
      </w:tc>
      <w:tc>
        <w:tcPr>
          <w:tcW w:w="1417" w:type="dxa"/>
          <w:vAlign w:val="center"/>
        </w:tcPr>
        <w:p w14:paraId="67B3C85D" w14:textId="0F90DED9" w:rsidR="00AC57FF" w:rsidRPr="00106472" w:rsidRDefault="00500A1E" w:rsidP="00AC57FF">
          <w:pPr>
            <w:pStyle w:val="stBilgi"/>
            <w:rPr>
              <w:b/>
            </w:rPr>
          </w:pPr>
          <w:r>
            <w:rPr>
              <w:b/>
            </w:rPr>
            <w:t>1</w:t>
          </w:r>
          <w:bookmarkStart w:id="0" w:name="_GoBack"/>
          <w:bookmarkEnd w:id="0"/>
        </w:p>
      </w:tc>
    </w:tr>
    <w:tr w:rsidR="00AC57FF" w:rsidRPr="00151E02" w14:paraId="43FFE94C" w14:textId="77777777" w:rsidTr="00106472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106472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106472" w:rsidRDefault="00AC57FF" w:rsidP="00AC57FF">
          <w:pPr>
            <w:pStyle w:val="stBilgi"/>
          </w:pPr>
          <w:r w:rsidRPr="00106472">
            <w:t>Sayfa</w:t>
          </w:r>
        </w:p>
      </w:tc>
      <w:tc>
        <w:tcPr>
          <w:tcW w:w="1417" w:type="dxa"/>
          <w:vAlign w:val="center"/>
        </w:tcPr>
        <w:p w14:paraId="545E62C4" w14:textId="457D80BD" w:rsidR="00AC57FF" w:rsidRPr="00106472" w:rsidRDefault="00AC57FF" w:rsidP="00AC57FF">
          <w:pPr>
            <w:pStyle w:val="stBilgi"/>
            <w:rPr>
              <w:b/>
            </w:rPr>
          </w:pPr>
          <w:r w:rsidRPr="00106472">
            <w:rPr>
              <w:b/>
            </w:rPr>
            <w:fldChar w:fldCharType="begin"/>
          </w:r>
          <w:r w:rsidRPr="00106472">
            <w:rPr>
              <w:b/>
            </w:rPr>
            <w:instrText xml:space="preserve"> PAGE   \* MERGEFORMAT </w:instrText>
          </w:r>
          <w:r w:rsidRPr="00106472">
            <w:rPr>
              <w:b/>
            </w:rPr>
            <w:fldChar w:fldCharType="separate"/>
          </w:r>
          <w:r w:rsidR="00500A1E">
            <w:rPr>
              <w:b/>
              <w:noProof/>
            </w:rPr>
            <w:t>1</w:t>
          </w:r>
          <w:r w:rsidRPr="00106472">
            <w:rPr>
              <w:b/>
            </w:rPr>
            <w:fldChar w:fldCharType="end"/>
          </w:r>
          <w:r w:rsidRPr="00106472">
            <w:rPr>
              <w:b/>
            </w:rPr>
            <w:t>/</w:t>
          </w:r>
          <w:r w:rsidR="000A613C">
            <w:fldChar w:fldCharType="begin"/>
          </w:r>
          <w:r w:rsidR="000A613C">
            <w:instrText xml:space="preserve"> NUMPAGES   \* MERGEFORMAT </w:instrText>
          </w:r>
          <w:r w:rsidR="000A613C">
            <w:fldChar w:fldCharType="separate"/>
          </w:r>
          <w:r w:rsidR="00500A1E" w:rsidRPr="00500A1E">
            <w:rPr>
              <w:b/>
              <w:noProof/>
            </w:rPr>
            <w:t>2</w:t>
          </w:r>
          <w:r w:rsidR="000A613C">
            <w:rPr>
              <w:b/>
              <w:noProof/>
            </w:rPr>
            <w:fldChar w:fldCharType="end"/>
          </w:r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B2B5" w14:textId="77777777" w:rsidR="00106472" w:rsidRDefault="001064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E84"/>
    <w:multiLevelType w:val="hybridMultilevel"/>
    <w:tmpl w:val="2E3E6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10015B5"/>
    <w:multiLevelType w:val="hybridMultilevel"/>
    <w:tmpl w:val="EF449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BBF0641"/>
    <w:multiLevelType w:val="hybridMultilevel"/>
    <w:tmpl w:val="1A801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03AAA"/>
    <w:multiLevelType w:val="hybridMultilevel"/>
    <w:tmpl w:val="8D52E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A613C"/>
    <w:rsid w:val="000C083D"/>
    <w:rsid w:val="000C0ACB"/>
    <w:rsid w:val="000C48DC"/>
    <w:rsid w:val="000D25AF"/>
    <w:rsid w:val="000D2C87"/>
    <w:rsid w:val="000E0DC3"/>
    <w:rsid w:val="000F5F8D"/>
    <w:rsid w:val="00100D25"/>
    <w:rsid w:val="0010543B"/>
    <w:rsid w:val="00106472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2E59"/>
    <w:rsid w:val="001C136B"/>
    <w:rsid w:val="001C1933"/>
    <w:rsid w:val="001C798C"/>
    <w:rsid w:val="001D041D"/>
    <w:rsid w:val="001D2986"/>
    <w:rsid w:val="001D2CFC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77517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5400D"/>
    <w:rsid w:val="003673D6"/>
    <w:rsid w:val="00371E9B"/>
    <w:rsid w:val="00372B71"/>
    <w:rsid w:val="0037403D"/>
    <w:rsid w:val="003763BE"/>
    <w:rsid w:val="00376E61"/>
    <w:rsid w:val="003820E5"/>
    <w:rsid w:val="003868A3"/>
    <w:rsid w:val="003871B6"/>
    <w:rsid w:val="00394C66"/>
    <w:rsid w:val="003A226B"/>
    <w:rsid w:val="003A36FE"/>
    <w:rsid w:val="003B3945"/>
    <w:rsid w:val="003C027E"/>
    <w:rsid w:val="003C3D41"/>
    <w:rsid w:val="003D6DFC"/>
    <w:rsid w:val="003F21D8"/>
    <w:rsid w:val="0040109C"/>
    <w:rsid w:val="00401434"/>
    <w:rsid w:val="0040216E"/>
    <w:rsid w:val="00411581"/>
    <w:rsid w:val="00417B02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63BD2"/>
    <w:rsid w:val="004640C5"/>
    <w:rsid w:val="00472154"/>
    <w:rsid w:val="00481033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0A1E"/>
    <w:rsid w:val="00504CB4"/>
    <w:rsid w:val="005068B8"/>
    <w:rsid w:val="00506C35"/>
    <w:rsid w:val="00517E31"/>
    <w:rsid w:val="00531E33"/>
    <w:rsid w:val="0053299C"/>
    <w:rsid w:val="00534B3F"/>
    <w:rsid w:val="0055420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3EBD"/>
    <w:rsid w:val="006158F0"/>
    <w:rsid w:val="00615EC5"/>
    <w:rsid w:val="006165F3"/>
    <w:rsid w:val="00624BB1"/>
    <w:rsid w:val="006260DD"/>
    <w:rsid w:val="00652DBC"/>
    <w:rsid w:val="006544B8"/>
    <w:rsid w:val="0066387D"/>
    <w:rsid w:val="00675738"/>
    <w:rsid w:val="00693742"/>
    <w:rsid w:val="00697094"/>
    <w:rsid w:val="006B610D"/>
    <w:rsid w:val="006C15A1"/>
    <w:rsid w:val="006D3EE1"/>
    <w:rsid w:val="006D747E"/>
    <w:rsid w:val="006F003F"/>
    <w:rsid w:val="006F675E"/>
    <w:rsid w:val="007062C8"/>
    <w:rsid w:val="00716E89"/>
    <w:rsid w:val="00740A4C"/>
    <w:rsid w:val="00742CCB"/>
    <w:rsid w:val="00757F3C"/>
    <w:rsid w:val="007608B9"/>
    <w:rsid w:val="0076378C"/>
    <w:rsid w:val="00763A8D"/>
    <w:rsid w:val="00763FE2"/>
    <w:rsid w:val="007674FD"/>
    <w:rsid w:val="00767ACD"/>
    <w:rsid w:val="00773209"/>
    <w:rsid w:val="00797DE8"/>
    <w:rsid w:val="007A4D59"/>
    <w:rsid w:val="007A52A7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29BD"/>
    <w:rsid w:val="008E34EF"/>
    <w:rsid w:val="008E44E6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19BD"/>
    <w:rsid w:val="009A6145"/>
    <w:rsid w:val="009C1CE1"/>
    <w:rsid w:val="009C4172"/>
    <w:rsid w:val="009D44A6"/>
    <w:rsid w:val="009E605A"/>
    <w:rsid w:val="009F4729"/>
    <w:rsid w:val="009F6F4C"/>
    <w:rsid w:val="00A010CB"/>
    <w:rsid w:val="00A01DF7"/>
    <w:rsid w:val="00A07318"/>
    <w:rsid w:val="00A07CFA"/>
    <w:rsid w:val="00A17E3F"/>
    <w:rsid w:val="00A23BD0"/>
    <w:rsid w:val="00A508E2"/>
    <w:rsid w:val="00A6193E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60BF8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A764E"/>
    <w:rsid w:val="00BB2F09"/>
    <w:rsid w:val="00BB4E8B"/>
    <w:rsid w:val="00BC28EE"/>
    <w:rsid w:val="00BD7209"/>
    <w:rsid w:val="00BF6FBD"/>
    <w:rsid w:val="00C057B1"/>
    <w:rsid w:val="00C12C90"/>
    <w:rsid w:val="00C139C2"/>
    <w:rsid w:val="00C15CA5"/>
    <w:rsid w:val="00C23EA6"/>
    <w:rsid w:val="00C27294"/>
    <w:rsid w:val="00C30912"/>
    <w:rsid w:val="00C325A1"/>
    <w:rsid w:val="00C3549A"/>
    <w:rsid w:val="00C37B56"/>
    <w:rsid w:val="00C60396"/>
    <w:rsid w:val="00C61033"/>
    <w:rsid w:val="00C64BDC"/>
    <w:rsid w:val="00C728DD"/>
    <w:rsid w:val="00C75727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0E38"/>
    <w:rsid w:val="00DA1939"/>
    <w:rsid w:val="00DB1134"/>
    <w:rsid w:val="00DB288A"/>
    <w:rsid w:val="00DC2CEA"/>
    <w:rsid w:val="00DC445A"/>
    <w:rsid w:val="00DE5684"/>
    <w:rsid w:val="00DF181E"/>
    <w:rsid w:val="00E0015E"/>
    <w:rsid w:val="00E02CFD"/>
    <w:rsid w:val="00E03720"/>
    <w:rsid w:val="00E1561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2C7F"/>
    <w:rsid w:val="00E655A4"/>
    <w:rsid w:val="00E66BE6"/>
    <w:rsid w:val="00E87E4E"/>
    <w:rsid w:val="00E913D9"/>
    <w:rsid w:val="00E93C7D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44ACD"/>
    <w:rsid w:val="00F466D7"/>
    <w:rsid w:val="00F556DA"/>
    <w:rsid w:val="00F55C80"/>
    <w:rsid w:val="00F723A1"/>
    <w:rsid w:val="00F81114"/>
    <w:rsid w:val="00F84E01"/>
    <w:rsid w:val="00FA3A82"/>
    <w:rsid w:val="00FB0BAC"/>
    <w:rsid w:val="00FB3689"/>
    <w:rsid w:val="00FB556D"/>
    <w:rsid w:val="00FB6266"/>
    <w:rsid w:val="00FD7539"/>
    <w:rsid w:val="00FE023E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A7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A76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32</cp:revision>
  <cp:lastPrinted>2022-06-30T11:29:00Z</cp:lastPrinted>
  <dcterms:created xsi:type="dcterms:W3CDTF">2020-02-19T12:13:00Z</dcterms:created>
  <dcterms:modified xsi:type="dcterms:W3CDTF">2023-11-30T08:41:00Z</dcterms:modified>
</cp:coreProperties>
</file>