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C3C5A" w14:textId="77777777" w:rsidR="00A94D86" w:rsidRDefault="00A94D86" w:rsidP="00A94D86">
      <w:pPr>
        <w:pStyle w:val="Balk1"/>
        <w:spacing w:line="240" w:lineRule="atLeast"/>
        <w:ind w:left="3045" w:right="1134"/>
      </w:pPr>
    </w:p>
    <w:p w14:paraId="5967FFF2" w14:textId="77777777" w:rsidR="009332EC" w:rsidRDefault="00F35896" w:rsidP="00A94D86">
      <w:pPr>
        <w:pStyle w:val="GvdeMetni"/>
        <w:spacing w:before="0" w:line="195" w:lineRule="exact"/>
        <w:ind w:left="1274" w:right="0"/>
      </w:pPr>
      <w:r>
        <w:t>Alanya</w:t>
      </w:r>
      <w:r>
        <w:rPr>
          <w:spacing w:val="-4"/>
        </w:rPr>
        <w:t xml:space="preserve"> </w:t>
      </w:r>
      <w:r>
        <w:t>Alaaddin</w:t>
      </w:r>
      <w:r>
        <w:rPr>
          <w:spacing w:val="11"/>
        </w:rPr>
        <w:t xml:space="preserve"> </w:t>
      </w:r>
      <w:r>
        <w:t>Keykubat</w:t>
      </w:r>
      <w:r>
        <w:rPr>
          <w:spacing w:val="11"/>
        </w:rPr>
        <w:t xml:space="preserve"> </w:t>
      </w:r>
      <w:r>
        <w:t>Üniversitesi</w:t>
      </w:r>
      <w:r>
        <w:rPr>
          <w:spacing w:val="11"/>
        </w:rPr>
        <w:t xml:space="preserve"> </w:t>
      </w:r>
      <w:r>
        <w:t>eğitim-öğretim,</w:t>
      </w:r>
      <w:r>
        <w:rPr>
          <w:spacing w:val="11"/>
        </w:rPr>
        <w:t xml:space="preserve"> </w:t>
      </w:r>
      <w:r>
        <w:t>araştırma-geliştirme,</w:t>
      </w:r>
      <w:r>
        <w:rPr>
          <w:spacing w:val="10"/>
        </w:rPr>
        <w:t xml:space="preserve"> </w:t>
      </w:r>
      <w:r>
        <w:t>toplumsal</w:t>
      </w:r>
      <w:r>
        <w:rPr>
          <w:spacing w:val="13"/>
        </w:rPr>
        <w:t xml:space="preserve"> </w:t>
      </w:r>
      <w:r>
        <w:t>katkı</w:t>
      </w:r>
      <w:r>
        <w:rPr>
          <w:spacing w:val="14"/>
        </w:rPr>
        <w:t xml:space="preserve"> </w:t>
      </w:r>
      <w:r>
        <w:rPr>
          <w:spacing w:val="-5"/>
        </w:rPr>
        <w:t>ve</w:t>
      </w:r>
    </w:p>
    <w:p w14:paraId="05D2D67C" w14:textId="77777777" w:rsidR="009332EC" w:rsidRDefault="00F35896" w:rsidP="00A94D86">
      <w:pPr>
        <w:pStyle w:val="GvdeMetni"/>
        <w:spacing w:before="40" w:line="276" w:lineRule="auto"/>
        <w:ind w:left="850"/>
      </w:pPr>
      <w:r>
        <w:t xml:space="preserve">idari hizmetlerden kaynaklanan çevresel boyutları, etkileri, riskleri ve fırsatları </w:t>
      </w:r>
      <w:r>
        <w:t>bütüncül ve yaşam döngüsü temelli bir yaklaşımla yönetmeyi; çevrenin ve insan sağlığının korunmasını, kirliliğin kaynağında önlenmesini, doğal kaynakların verimli ve sürdürülebilir kullanılmasını, atık oluşumunun önlenmesini ve sıfır atık ile döngüsel ekon</w:t>
      </w:r>
      <w:r>
        <w:t>omi ilkelerinin kurumsal kültürün bir parçası hâline getirilmesini temel sorumluluklarından biri olarak kabul eder.</w:t>
      </w:r>
    </w:p>
    <w:p w14:paraId="047B1849" w14:textId="77777777" w:rsidR="009332EC" w:rsidRDefault="00F35896" w:rsidP="00A94D86">
      <w:pPr>
        <w:pStyle w:val="GvdeMetni"/>
        <w:spacing w:before="158" w:line="276" w:lineRule="auto"/>
        <w:ind w:left="850" w:right="139" w:firstLine="424"/>
      </w:pPr>
      <w:r>
        <w:t>Bu Politika Üniversitenin tüm yerleşkelerini, akademik ve idari birimlerini, laboratuvarlarını, araştırma ve uygulama merkezlerini, sosyal v</w:t>
      </w:r>
      <w:r>
        <w:t>e hizmet alanlarını; öğrencileri, akademik ve idari personeli, ziyaretçileri, yüklenicileri, tedarikçileri ve Üniversitenin faaliyetleri kapsamında hizmet sunan veya bu faaliyetlerden etkilenen diğer ilgili tarafları kapsar.</w:t>
      </w:r>
    </w:p>
    <w:p w14:paraId="015F55B5" w14:textId="77777777" w:rsidR="009332EC" w:rsidRDefault="00F35896" w:rsidP="00A94D86">
      <w:pPr>
        <w:pStyle w:val="GvdeMetni"/>
        <w:spacing w:before="162"/>
        <w:ind w:left="1274" w:right="0"/>
      </w:pPr>
      <w:r>
        <w:t>Bu</w:t>
      </w:r>
      <w:r>
        <w:rPr>
          <w:spacing w:val="-12"/>
        </w:rPr>
        <w:t xml:space="preserve"> </w:t>
      </w:r>
      <w:r>
        <w:t>doğrultuda</w:t>
      </w:r>
      <w:r>
        <w:rPr>
          <w:spacing w:val="-14"/>
        </w:rPr>
        <w:t xml:space="preserve"> </w:t>
      </w:r>
      <w:r>
        <w:t>Alanya</w:t>
      </w:r>
      <w:r>
        <w:rPr>
          <w:spacing w:val="-14"/>
        </w:rPr>
        <w:t xml:space="preserve"> </w:t>
      </w:r>
      <w:r>
        <w:t>Alaaddin</w:t>
      </w:r>
      <w:r>
        <w:rPr>
          <w:spacing w:val="-5"/>
        </w:rPr>
        <w:t xml:space="preserve"> </w:t>
      </w:r>
      <w:r>
        <w:t>K</w:t>
      </w:r>
      <w:r>
        <w:t>eykubat</w:t>
      </w:r>
      <w:r>
        <w:rPr>
          <w:spacing w:val="-2"/>
        </w:rPr>
        <w:t xml:space="preserve"> </w:t>
      </w:r>
      <w:r>
        <w:t>Üniversitesi</w:t>
      </w:r>
      <w:r>
        <w:rPr>
          <w:spacing w:val="-7"/>
        </w:rPr>
        <w:t xml:space="preserve"> </w:t>
      </w:r>
      <w:r>
        <w:t>aşağıdaki</w:t>
      </w:r>
      <w:r>
        <w:rPr>
          <w:spacing w:val="-3"/>
        </w:rPr>
        <w:t xml:space="preserve"> </w:t>
      </w:r>
      <w:r>
        <w:t>hususları</w:t>
      </w:r>
      <w:r>
        <w:rPr>
          <w:spacing w:val="-7"/>
        </w:rPr>
        <w:t xml:space="preserve"> </w:t>
      </w:r>
      <w:r>
        <w:t>taahhüt</w:t>
      </w:r>
      <w:r>
        <w:rPr>
          <w:spacing w:val="-4"/>
        </w:rPr>
        <w:t xml:space="preserve"> </w:t>
      </w:r>
      <w:r>
        <w:rPr>
          <w:spacing w:val="-2"/>
        </w:rPr>
        <w:t>eder.</w:t>
      </w:r>
    </w:p>
    <w:p w14:paraId="4167A22C" w14:textId="190C54B7" w:rsidR="009332EC" w:rsidRDefault="00F35896" w:rsidP="00A94D86">
      <w:pPr>
        <w:pStyle w:val="ListeParagraf"/>
        <w:numPr>
          <w:ilvl w:val="0"/>
          <w:numId w:val="1"/>
        </w:numPr>
        <w:tabs>
          <w:tab w:val="left" w:pos="1109"/>
        </w:tabs>
        <w:spacing w:before="135" w:line="276" w:lineRule="auto"/>
        <w:ind w:right="140" w:firstLine="0"/>
      </w:pPr>
      <w:r>
        <w:t>Çevre ve atık yönetimine ilişkin yürürlükteki mevzuata, Üniversitenin tabi olduğu diğer uygunluk yükümlülüklerine ve yönetim sistemi şartlarına uymayı; bu yükümlülükleri düzenli olarak izlemeyi, soruml</w:t>
      </w:r>
      <w:r>
        <w:t>ulukları tanımlamayı ve gerekli kurumsal düzenlemeleri gerçekleştirmeyi</w:t>
      </w:r>
      <w:r w:rsidR="008B26E1">
        <w:t>,</w:t>
      </w:r>
    </w:p>
    <w:p w14:paraId="3FC54C46" w14:textId="6215D160" w:rsidR="009332EC" w:rsidRDefault="00F35896" w:rsidP="00A94D86">
      <w:pPr>
        <w:pStyle w:val="ListeParagraf"/>
        <w:numPr>
          <w:ilvl w:val="0"/>
          <w:numId w:val="1"/>
        </w:numPr>
        <w:tabs>
          <w:tab w:val="left" w:pos="1096"/>
        </w:tabs>
        <w:spacing w:before="102" w:line="276" w:lineRule="auto"/>
        <w:ind w:right="139" w:firstLine="0"/>
      </w:pPr>
      <w:r>
        <w:t>Doğal</w:t>
      </w:r>
      <w:r>
        <w:rPr>
          <w:spacing w:val="-2"/>
        </w:rPr>
        <w:t xml:space="preserve"> </w:t>
      </w:r>
      <w:r>
        <w:t>kaynakların</w:t>
      </w:r>
      <w:r>
        <w:rPr>
          <w:spacing w:val="-2"/>
        </w:rPr>
        <w:t xml:space="preserve"> </w:t>
      </w:r>
      <w:r>
        <w:t>sürdürülebilir</w:t>
      </w:r>
      <w:r>
        <w:rPr>
          <w:spacing w:val="-2"/>
        </w:rPr>
        <w:t xml:space="preserve"> </w:t>
      </w:r>
      <w:r>
        <w:t>ve verimli kullanımını esas</w:t>
      </w:r>
      <w:r>
        <w:rPr>
          <w:spacing w:val="-2"/>
        </w:rPr>
        <w:t xml:space="preserve"> </w:t>
      </w:r>
      <w:r>
        <w:t>almayı;</w:t>
      </w:r>
      <w:r>
        <w:rPr>
          <w:spacing w:val="-2"/>
        </w:rPr>
        <w:t xml:space="preserve"> </w:t>
      </w:r>
      <w:r>
        <w:t>su,</w:t>
      </w:r>
      <w:r>
        <w:rPr>
          <w:spacing w:val="-2"/>
        </w:rPr>
        <w:t xml:space="preserve"> </w:t>
      </w:r>
      <w:r>
        <w:t>enerji,</w:t>
      </w:r>
      <w:r>
        <w:rPr>
          <w:spacing w:val="-4"/>
        </w:rPr>
        <w:t xml:space="preserve"> </w:t>
      </w:r>
      <w:r>
        <w:t>ham</w:t>
      </w:r>
      <w:r>
        <w:rPr>
          <w:spacing w:val="-2"/>
        </w:rPr>
        <w:t xml:space="preserve"> </w:t>
      </w:r>
      <w:r>
        <w:t>madde</w:t>
      </w:r>
      <w:r>
        <w:rPr>
          <w:spacing w:val="-3"/>
        </w:rPr>
        <w:t xml:space="preserve"> </w:t>
      </w:r>
      <w:r>
        <w:t>ve diğer kaynakların tüketimini izlemeyi, kaynak verimliliğini artıran uygulamaları geliştir</w:t>
      </w:r>
      <w:r>
        <w:t>meyi, yenilenebilir kaynak kullanımını ve çevresel etkisi düşük çözümleri teşvik etmeyi</w:t>
      </w:r>
      <w:r w:rsidR="008B26E1">
        <w:t>,</w:t>
      </w:r>
    </w:p>
    <w:p w14:paraId="0F0BFA04" w14:textId="0F70FFFB" w:rsidR="009332EC" w:rsidRDefault="00F35896" w:rsidP="00A94D86">
      <w:pPr>
        <w:pStyle w:val="ListeParagraf"/>
        <w:numPr>
          <w:ilvl w:val="0"/>
          <w:numId w:val="1"/>
        </w:numPr>
        <w:tabs>
          <w:tab w:val="left" w:pos="1118"/>
        </w:tabs>
        <w:spacing w:before="99" w:line="276" w:lineRule="auto"/>
        <w:ind w:right="140" w:firstLine="0"/>
      </w:pPr>
      <w:r>
        <w:t xml:space="preserve">İklim değişikliğiyle mücadele ve uyum çalışmalarını çevre yönetimi süreçleriyle bütünleştirmeyi; sera gazı emisyonlarını hesaplamayı ve izlemeyi, kurumsal karbon ayak </w:t>
      </w:r>
      <w:r>
        <w:t>izini azaltmayı, iklim risklerine karşı kurumsal dayanıklılığı geliştirmeyi; ekosistemlerin ve biyolojik çeşitliliğin korunmasını destekleyen uygulamaları yaygınlaştırmayı</w:t>
      </w:r>
      <w:r w:rsidR="008B26E1">
        <w:t>,</w:t>
      </w:r>
    </w:p>
    <w:p w14:paraId="59832419" w14:textId="3FFAFB12" w:rsidR="009332EC" w:rsidRDefault="00F35896" w:rsidP="00A94D86">
      <w:pPr>
        <w:pStyle w:val="ListeParagraf"/>
        <w:numPr>
          <w:ilvl w:val="0"/>
          <w:numId w:val="1"/>
        </w:numPr>
        <w:tabs>
          <w:tab w:val="left" w:pos="1096"/>
        </w:tabs>
        <w:spacing w:line="276" w:lineRule="auto"/>
        <w:ind w:right="139" w:firstLine="0"/>
      </w:pPr>
      <w:r>
        <w:t>Faaliyetlerden kaynaklanan çevresel boyut ve</w:t>
      </w:r>
      <w:r>
        <w:rPr>
          <w:spacing w:val="-1"/>
        </w:rPr>
        <w:t xml:space="preserve"> </w:t>
      </w:r>
      <w:r>
        <w:t>etkiler</w:t>
      </w:r>
      <w:r>
        <w:rPr>
          <w:spacing w:val="-2"/>
        </w:rPr>
        <w:t xml:space="preserve"> </w:t>
      </w:r>
      <w:r>
        <w:t>ile bunlara ilişkin risk ve</w:t>
      </w:r>
      <w:r>
        <w:rPr>
          <w:spacing w:val="-1"/>
        </w:rPr>
        <w:t xml:space="preserve"> </w:t>
      </w:r>
      <w:r>
        <w:t>fırsatları belirlemeyi, değerlendirmeyi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kontrol</w:t>
      </w:r>
      <w:r>
        <w:rPr>
          <w:spacing w:val="-12"/>
        </w:rPr>
        <w:t xml:space="preserve"> </w:t>
      </w:r>
      <w:r>
        <w:t>altında</w:t>
      </w:r>
      <w:r>
        <w:rPr>
          <w:spacing w:val="-11"/>
        </w:rPr>
        <w:t xml:space="preserve"> </w:t>
      </w:r>
      <w:r>
        <w:t>tutmayı;</w:t>
      </w:r>
      <w:r>
        <w:rPr>
          <w:spacing w:val="-12"/>
        </w:rPr>
        <w:t xml:space="preserve"> </w:t>
      </w:r>
      <w:r>
        <w:t>kimyasal</w:t>
      </w:r>
      <w:r>
        <w:rPr>
          <w:spacing w:val="-10"/>
        </w:rPr>
        <w:t xml:space="preserve"> </w:t>
      </w:r>
      <w:r>
        <w:t>maddelerin</w:t>
      </w:r>
      <w:r>
        <w:rPr>
          <w:spacing w:val="-12"/>
        </w:rPr>
        <w:t xml:space="preserve"> </w:t>
      </w:r>
      <w:r>
        <w:t>güvenli</w:t>
      </w:r>
      <w:r>
        <w:rPr>
          <w:spacing w:val="-11"/>
        </w:rPr>
        <w:t xml:space="preserve"> </w:t>
      </w:r>
      <w:r>
        <w:t>kullanımı</w:t>
      </w:r>
      <w:r>
        <w:rPr>
          <w:spacing w:val="-12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depolanması</w:t>
      </w:r>
      <w:r>
        <w:rPr>
          <w:spacing w:val="-11"/>
        </w:rPr>
        <w:t xml:space="preserve"> </w:t>
      </w:r>
      <w:r>
        <w:t>ile dökülme, sızıntı ve benzeri çevresel acil durumların önlenmesine, bunlara hazırlıklı olunmasına ve etkilerinin azaltılmasına yöneli</w:t>
      </w:r>
      <w:r>
        <w:t>k tedbirleri uygulamayı</w:t>
      </w:r>
      <w:r w:rsidR="008B26E1">
        <w:t>,</w:t>
      </w:r>
    </w:p>
    <w:p w14:paraId="170CB936" w14:textId="07C26E20" w:rsidR="009332EC" w:rsidRDefault="00F35896" w:rsidP="00A94D86">
      <w:pPr>
        <w:pStyle w:val="ListeParagraf"/>
        <w:numPr>
          <w:ilvl w:val="0"/>
          <w:numId w:val="1"/>
        </w:numPr>
        <w:tabs>
          <w:tab w:val="left" w:pos="1074"/>
        </w:tabs>
        <w:spacing w:line="276" w:lineRule="auto"/>
        <w:ind w:firstLine="0"/>
      </w:pPr>
      <w:r>
        <w:t>Atık</w:t>
      </w:r>
      <w:r>
        <w:rPr>
          <w:spacing w:val="-12"/>
        </w:rPr>
        <w:t xml:space="preserve"> </w:t>
      </w:r>
      <w:r>
        <w:t>yönetiminde</w:t>
      </w:r>
      <w:r>
        <w:rPr>
          <w:spacing w:val="-12"/>
        </w:rPr>
        <w:t xml:space="preserve"> </w:t>
      </w:r>
      <w:r>
        <w:t>atık</w:t>
      </w:r>
      <w:r>
        <w:rPr>
          <w:spacing w:val="-14"/>
        </w:rPr>
        <w:t xml:space="preserve"> </w:t>
      </w:r>
      <w:r>
        <w:t>hiyerarşisi,</w:t>
      </w:r>
      <w:r>
        <w:rPr>
          <w:spacing w:val="-11"/>
        </w:rPr>
        <w:t xml:space="preserve"> </w:t>
      </w:r>
      <w:r>
        <w:t>sıfır</w:t>
      </w:r>
      <w:r>
        <w:rPr>
          <w:spacing w:val="-14"/>
        </w:rPr>
        <w:t xml:space="preserve"> </w:t>
      </w:r>
      <w:r>
        <w:t>atık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döngüsel</w:t>
      </w:r>
      <w:r>
        <w:rPr>
          <w:spacing w:val="-12"/>
        </w:rPr>
        <w:t xml:space="preserve"> </w:t>
      </w:r>
      <w:r>
        <w:t>ekonomi</w:t>
      </w:r>
      <w:r>
        <w:rPr>
          <w:spacing w:val="-12"/>
        </w:rPr>
        <w:t xml:space="preserve"> </w:t>
      </w:r>
      <w:r>
        <w:t>ilkelerini</w:t>
      </w:r>
      <w:r>
        <w:rPr>
          <w:spacing w:val="-11"/>
        </w:rPr>
        <w:t xml:space="preserve"> </w:t>
      </w:r>
      <w:r>
        <w:t>esas</w:t>
      </w:r>
      <w:r>
        <w:rPr>
          <w:spacing w:val="-14"/>
        </w:rPr>
        <w:t xml:space="preserve"> </w:t>
      </w:r>
      <w:r>
        <w:t>alarak</w:t>
      </w:r>
      <w:r>
        <w:rPr>
          <w:spacing w:val="-11"/>
        </w:rPr>
        <w:t xml:space="preserve"> </w:t>
      </w:r>
      <w:r>
        <w:t>atık</w:t>
      </w:r>
      <w:r>
        <w:rPr>
          <w:spacing w:val="-12"/>
        </w:rPr>
        <w:t xml:space="preserve"> </w:t>
      </w:r>
      <w:r>
        <w:t>oluşumunu önlemeyi</w:t>
      </w:r>
      <w:r>
        <w:rPr>
          <w:spacing w:val="-8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azaltmayı;</w:t>
      </w:r>
      <w:r>
        <w:rPr>
          <w:spacing w:val="-6"/>
        </w:rPr>
        <w:t xml:space="preserve"> </w:t>
      </w:r>
      <w:r>
        <w:t>oluşan</w:t>
      </w:r>
      <w:r>
        <w:rPr>
          <w:spacing w:val="-11"/>
        </w:rPr>
        <w:t xml:space="preserve"> </w:t>
      </w:r>
      <w:r>
        <w:t>atıkları</w:t>
      </w:r>
      <w:r>
        <w:rPr>
          <w:spacing w:val="-11"/>
        </w:rPr>
        <w:t xml:space="preserve"> </w:t>
      </w:r>
      <w:r>
        <w:t>kaynağında</w:t>
      </w:r>
      <w:r>
        <w:rPr>
          <w:spacing w:val="-9"/>
        </w:rPr>
        <w:t xml:space="preserve"> </w:t>
      </w:r>
      <w:r>
        <w:t>türlerine</w:t>
      </w:r>
      <w:r>
        <w:rPr>
          <w:spacing w:val="-10"/>
        </w:rPr>
        <w:t xml:space="preserve"> </w:t>
      </w:r>
      <w:r>
        <w:t>göre</w:t>
      </w:r>
      <w:r>
        <w:rPr>
          <w:spacing w:val="-9"/>
        </w:rPr>
        <w:t xml:space="preserve"> </w:t>
      </w:r>
      <w:r>
        <w:t>ayrı</w:t>
      </w:r>
      <w:r>
        <w:rPr>
          <w:spacing w:val="-9"/>
        </w:rPr>
        <w:t xml:space="preserve"> </w:t>
      </w:r>
      <w:r>
        <w:t>biriktirmeyi</w:t>
      </w:r>
      <w:r>
        <w:rPr>
          <w:spacing w:val="-8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toplamayı,</w:t>
      </w:r>
      <w:r>
        <w:rPr>
          <w:spacing w:val="-11"/>
        </w:rPr>
        <w:t xml:space="preserve"> </w:t>
      </w:r>
      <w:r>
        <w:t>uygun olanları yeniden kullanı</w:t>
      </w:r>
      <w:r>
        <w:t>ma, geri dönüşüme veya diğer geri kazanım yöntemlerine yönlendirmeyi; tehlikeli ve özel yönetim gerektiren atıkların güvenli biçimde geçici depolanmasını, taşınmasını ve lisanslı</w:t>
      </w:r>
      <w:r>
        <w:rPr>
          <w:spacing w:val="-4"/>
        </w:rPr>
        <w:t xml:space="preserve"> </w:t>
      </w:r>
      <w:r>
        <w:t>tesislerde</w:t>
      </w:r>
      <w:r>
        <w:rPr>
          <w:spacing w:val="-3"/>
        </w:rPr>
        <w:t xml:space="preserve"> </w:t>
      </w:r>
      <w:r>
        <w:t>geri</w:t>
      </w:r>
      <w:r>
        <w:rPr>
          <w:spacing w:val="-4"/>
        </w:rPr>
        <w:t xml:space="preserve"> </w:t>
      </w:r>
      <w:r>
        <w:t>kazanılmasını</w:t>
      </w:r>
      <w:r>
        <w:rPr>
          <w:spacing w:val="-2"/>
        </w:rPr>
        <w:t xml:space="preserve"> </w:t>
      </w:r>
      <w:r>
        <w:t>veya</w:t>
      </w:r>
      <w:r>
        <w:rPr>
          <w:spacing w:val="-3"/>
        </w:rPr>
        <w:t xml:space="preserve"> </w:t>
      </w:r>
      <w:r>
        <w:t>bertaraf</w:t>
      </w:r>
      <w:r>
        <w:rPr>
          <w:spacing w:val="-4"/>
        </w:rPr>
        <w:t xml:space="preserve"> </w:t>
      </w:r>
      <w:r>
        <w:t>edilmesini</w:t>
      </w:r>
      <w:r>
        <w:rPr>
          <w:spacing w:val="-3"/>
        </w:rPr>
        <w:t xml:space="preserve"> </w:t>
      </w:r>
      <w:r>
        <w:t>sağlamayı;</w:t>
      </w:r>
      <w:r>
        <w:rPr>
          <w:spacing w:val="-2"/>
        </w:rPr>
        <w:t xml:space="preserve"> </w:t>
      </w:r>
      <w:r>
        <w:t>Sıfır</w:t>
      </w:r>
      <w:r>
        <w:rPr>
          <w:spacing w:val="-14"/>
        </w:rPr>
        <w:t xml:space="preserve"> </w:t>
      </w:r>
      <w:r>
        <w:t>Atık</w:t>
      </w:r>
      <w:r>
        <w:rPr>
          <w:spacing w:val="-10"/>
        </w:rPr>
        <w:t xml:space="preserve"> </w:t>
      </w:r>
      <w:r>
        <w:t>Yönetim</w:t>
      </w:r>
      <w:r>
        <w:rPr>
          <w:spacing w:val="-3"/>
        </w:rPr>
        <w:t xml:space="preserve"> </w:t>
      </w:r>
      <w:r>
        <w:t>Sistemini işletmeyi,</w:t>
      </w:r>
      <w:r>
        <w:rPr>
          <w:spacing w:val="-8"/>
        </w:rPr>
        <w:t xml:space="preserve"> </w:t>
      </w:r>
      <w:r>
        <w:t>geliştirmeyi,</w:t>
      </w:r>
      <w:r>
        <w:rPr>
          <w:spacing w:val="-8"/>
        </w:rPr>
        <w:t xml:space="preserve"> </w:t>
      </w:r>
      <w:r>
        <w:t>izlemeyi,</w:t>
      </w:r>
      <w:r>
        <w:rPr>
          <w:spacing w:val="-8"/>
        </w:rPr>
        <w:t xml:space="preserve"> </w:t>
      </w:r>
      <w:r>
        <w:t>kayıt</w:t>
      </w:r>
      <w:r>
        <w:rPr>
          <w:spacing w:val="-8"/>
        </w:rPr>
        <w:t xml:space="preserve"> </w:t>
      </w:r>
      <w:r>
        <w:t>altına</w:t>
      </w:r>
      <w:r>
        <w:rPr>
          <w:spacing w:val="-8"/>
        </w:rPr>
        <w:t xml:space="preserve"> </w:t>
      </w:r>
      <w:r>
        <w:t>almayı</w:t>
      </w:r>
      <w:r>
        <w:rPr>
          <w:spacing w:val="-9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belge</w:t>
      </w:r>
      <w:r>
        <w:rPr>
          <w:spacing w:val="-8"/>
        </w:rPr>
        <w:t xml:space="preserve"> </w:t>
      </w:r>
      <w:r>
        <w:t>süreçlerine</w:t>
      </w:r>
      <w:r>
        <w:rPr>
          <w:spacing w:val="-10"/>
        </w:rPr>
        <w:t xml:space="preserve"> </w:t>
      </w:r>
      <w:r>
        <w:t>ilişkin</w:t>
      </w:r>
      <w:r>
        <w:rPr>
          <w:spacing w:val="-10"/>
        </w:rPr>
        <w:t xml:space="preserve"> </w:t>
      </w:r>
      <w:r>
        <w:t>yükümlülükleri</w:t>
      </w:r>
      <w:r>
        <w:rPr>
          <w:spacing w:val="-9"/>
        </w:rPr>
        <w:t xml:space="preserve"> </w:t>
      </w:r>
      <w:r>
        <w:t xml:space="preserve">yerine </w:t>
      </w:r>
      <w:r>
        <w:rPr>
          <w:spacing w:val="-2"/>
        </w:rPr>
        <w:t>getirmeyi</w:t>
      </w:r>
      <w:r w:rsidR="008B26E1">
        <w:rPr>
          <w:spacing w:val="-2"/>
        </w:rPr>
        <w:t>,</w:t>
      </w:r>
    </w:p>
    <w:p w14:paraId="5E2A1632" w14:textId="3E85F3B8" w:rsidR="009332EC" w:rsidRDefault="00F35896" w:rsidP="00A94D86">
      <w:pPr>
        <w:pStyle w:val="ListeParagraf"/>
        <w:numPr>
          <w:ilvl w:val="0"/>
          <w:numId w:val="1"/>
        </w:numPr>
        <w:tabs>
          <w:tab w:val="left" w:pos="1111"/>
        </w:tabs>
        <w:spacing w:before="100" w:line="276" w:lineRule="auto"/>
        <w:ind w:firstLine="0"/>
      </w:pPr>
      <w:r>
        <w:t>Satın alma, yapım, bakım-onarım ve hizmet alımı süreçlerinde ilgili mevzuat çerçevesinde yaşam döngüsü</w:t>
      </w:r>
      <w:r>
        <w:rPr>
          <w:spacing w:val="-5"/>
        </w:rPr>
        <w:t xml:space="preserve"> </w:t>
      </w:r>
      <w:r>
        <w:t>yaklaşımını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çev</w:t>
      </w:r>
      <w:r>
        <w:t>resel</w:t>
      </w:r>
      <w:r>
        <w:rPr>
          <w:spacing w:val="-3"/>
        </w:rPr>
        <w:t xml:space="preserve"> </w:t>
      </w:r>
      <w:r>
        <w:t>kriterleri</w:t>
      </w:r>
      <w:r>
        <w:rPr>
          <w:spacing w:val="-4"/>
        </w:rPr>
        <w:t xml:space="preserve"> </w:t>
      </w:r>
      <w:r>
        <w:t>gözetmeyi;</w:t>
      </w:r>
      <w:r>
        <w:rPr>
          <w:spacing w:val="-5"/>
        </w:rPr>
        <w:t xml:space="preserve"> </w:t>
      </w:r>
      <w:r>
        <w:t>çevreye</w:t>
      </w:r>
      <w:r>
        <w:rPr>
          <w:spacing w:val="-5"/>
        </w:rPr>
        <w:t xml:space="preserve"> </w:t>
      </w:r>
      <w:r>
        <w:t>duyarlı,</w:t>
      </w:r>
      <w:r>
        <w:rPr>
          <w:spacing w:val="-3"/>
        </w:rPr>
        <w:t xml:space="preserve"> </w:t>
      </w:r>
      <w:r>
        <w:t>dayanıklı,</w:t>
      </w:r>
      <w:r>
        <w:rPr>
          <w:spacing w:val="-3"/>
        </w:rPr>
        <w:t xml:space="preserve"> </w:t>
      </w:r>
      <w:r>
        <w:t>onarılabilir,</w:t>
      </w:r>
      <w:r>
        <w:rPr>
          <w:spacing w:val="-5"/>
        </w:rPr>
        <w:t xml:space="preserve"> </w:t>
      </w:r>
      <w:r>
        <w:t>yeniden kullanılabilir, geri dönüştürülebilir ve kaynak verimli ürün, hizmet ve çözümlerin tercih edilmesini teşvik etmeyi; tedarikçi ve yüklenicilere uygulanabilir çevresel şartları bil</w:t>
      </w:r>
      <w:r>
        <w:t xml:space="preserve">dirmeyi ve bunlara uyumu </w:t>
      </w:r>
      <w:r>
        <w:rPr>
          <w:spacing w:val="-2"/>
        </w:rPr>
        <w:t>gözetmeyi</w:t>
      </w:r>
      <w:r w:rsidR="008B26E1">
        <w:rPr>
          <w:spacing w:val="-2"/>
        </w:rPr>
        <w:t>,</w:t>
      </w:r>
    </w:p>
    <w:p w14:paraId="0FA2643E" w14:textId="76187D15" w:rsidR="009332EC" w:rsidRDefault="00F35896" w:rsidP="00A94D86">
      <w:pPr>
        <w:pStyle w:val="ListeParagraf"/>
        <w:numPr>
          <w:ilvl w:val="0"/>
          <w:numId w:val="1"/>
        </w:numPr>
        <w:tabs>
          <w:tab w:val="left" w:pos="1171"/>
        </w:tabs>
        <w:spacing w:line="276" w:lineRule="auto"/>
        <w:ind w:firstLine="0"/>
      </w:pPr>
      <w:r>
        <w:t>Eğitim-öğretim, araştırma-geliştirme ve toplumsal katkı faaliyetlerinde çevre bilinci, kaynak verimliliği,</w:t>
      </w:r>
      <w:r>
        <w:rPr>
          <w:spacing w:val="-1"/>
        </w:rPr>
        <w:t xml:space="preserve"> </w:t>
      </w:r>
      <w:r>
        <w:t>sıfır atık ve döngüsel</w:t>
      </w:r>
      <w:r>
        <w:rPr>
          <w:spacing w:val="-1"/>
        </w:rPr>
        <w:t xml:space="preserve"> </w:t>
      </w:r>
      <w:r>
        <w:t>ekonomi yaklaşımını desteklemeyi; çevre ve atık yönetimine ilişkin eğitim,</w:t>
      </w:r>
      <w:r>
        <w:rPr>
          <w:spacing w:val="-8"/>
        </w:rPr>
        <w:t xml:space="preserve"> </w:t>
      </w:r>
      <w:r>
        <w:t>bilgilendirme</w:t>
      </w:r>
      <w:r>
        <w:rPr>
          <w:spacing w:val="-8"/>
        </w:rPr>
        <w:t xml:space="preserve"> </w:t>
      </w:r>
      <w:r>
        <w:t>v</w:t>
      </w:r>
      <w:r>
        <w:t>e</w:t>
      </w:r>
      <w:r>
        <w:rPr>
          <w:spacing w:val="-10"/>
        </w:rPr>
        <w:t xml:space="preserve"> </w:t>
      </w:r>
      <w:r>
        <w:t>farkındalık</w:t>
      </w:r>
      <w:r>
        <w:rPr>
          <w:spacing w:val="-8"/>
        </w:rPr>
        <w:t xml:space="preserve"> </w:t>
      </w:r>
      <w:r>
        <w:t>çalışmalarını</w:t>
      </w:r>
      <w:r>
        <w:rPr>
          <w:spacing w:val="-8"/>
        </w:rPr>
        <w:t xml:space="preserve"> </w:t>
      </w:r>
      <w:r>
        <w:t>düzenli</w:t>
      </w:r>
      <w:r>
        <w:rPr>
          <w:spacing w:val="-7"/>
        </w:rPr>
        <w:t xml:space="preserve"> </w:t>
      </w:r>
      <w:r>
        <w:t>olarak</w:t>
      </w:r>
      <w:r>
        <w:rPr>
          <w:spacing w:val="-8"/>
        </w:rPr>
        <w:t xml:space="preserve"> </w:t>
      </w:r>
      <w:r>
        <w:t>yürütmeyi;</w:t>
      </w:r>
      <w:r>
        <w:rPr>
          <w:spacing w:val="-8"/>
        </w:rPr>
        <w:t xml:space="preserve"> </w:t>
      </w:r>
      <w:r>
        <w:t>öğrencilerin,</w:t>
      </w:r>
      <w:r>
        <w:rPr>
          <w:spacing w:val="-8"/>
        </w:rPr>
        <w:t xml:space="preserve"> </w:t>
      </w:r>
      <w:r>
        <w:t>akademik</w:t>
      </w:r>
      <w:r>
        <w:rPr>
          <w:spacing w:val="-8"/>
        </w:rPr>
        <w:t xml:space="preserve"> </w:t>
      </w:r>
      <w:r>
        <w:t xml:space="preserve">ve </w:t>
      </w:r>
      <w:r>
        <w:t>idari personelin ve ilgili tarafların uygulamalara aktif katılımını güçlendirmeyi</w:t>
      </w:r>
      <w:r w:rsidR="008B26E1">
        <w:t>,</w:t>
      </w:r>
    </w:p>
    <w:p w14:paraId="24837881" w14:textId="77777777" w:rsidR="006F7121" w:rsidRDefault="006F7121" w:rsidP="006F7121">
      <w:pPr>
        <w:pStyle w:val="ListeParagraf"/>
        <w:tabs>
          <w:tab w:val="left" w:pos="1171"/>
        </w:tabs>
        <w:spacing w:line="276" w:lineRule="auto"/>
      </w:pPr>
      <w:bookmarkStart w:id="0" w:name="_GoBack"/>
      <w:bookmarkEnd w:id="0"/>
    </w:p>
    <w:p w14:paraId="63EC5D76" w14:textId="77777777" w:rsidR="009332EC" w:rsidRDefault="00F35896" w:rsidP="00A94D86">
      <w:pPr>
        <w:pStyle w:val="ListeParagraf"/>
        <w:numPr>
          <w:ilvl w:val="0"/>
          <w:numId w:val="1"/>
        </w:numPr>
        <w:tabs>
          <w:tab w:val="left" w:pos="1098"/>
        </w:tabs>
        <w:spacing w:before="98" w:line="276" w:lineRule="auto"/>
        <w:ind w:right="139" w:firstLine="0"/>
      </w:pPr>
      <w:r>
        <w:t>Ç</w:t>
      </w:r>
      <w:r>
        <w:t xml:space="preserve">evre ve atık yönetimine yönelik amaçlar ve ölçülebilir hedefler belirlemeyi; performansı </w:t>
      </w:r>
      <w:r>
        <w:t>güvenilir ve</w:t>
      </w:r>
      <w:r>
        <w:rPr>
          <w:spacing w:val="-2"/>
        </w:rPr>
        <w:t xml:space="preserve"> </w:t>
      </w:r>
      <w:r>
        <w:t>doğrulanabilir</w:t>
      </w:r>
      <w:r>
        <w:rPr>
          <w:spacing w:val="-2"/>
        </w:rPr>
        <w:t xml:space="preserve"> </w:t>
      </w:r>
      <w:r>
        <w:t>verilere</w:t>
      </w:r>
      <w:r>
        <w:rPr>
          <w:spacing w:val="-3"/>
        </w:rPr>
        <w:t xml:space="preserve"> </w:t>
      </w:r>
      <w:r>
        <w:t>dayalı</w:t>
      </w:r>
      <w:r>
        <w:rPr>
          <w:spacing w:val="-3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t>izlemeyi,</w:t>
      </w:r>
      <w:r>
        <w:rPr>
          <w:spacing w:val="-3"/>
        </w:rPr>
        <w:t xml:space="preserve"> </w:t>
      </w:r>
      <w:r>
        <w:t>değerlendirmeyi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uygun</w:t>
      </w:r>
      <w:r>
        <w:rPr>
          <w:spacing w:val="-3"/>
        </w:rPr>
        <w:t xml:space="preserve"> </w:t>
      </w:r>
      <w:r>
        <w:t>yöntemlerle</w:t>
      </w:r>
      <w:r>
        <w:rPr>
          <w:spacing w:val="-3"/>
        </w:rPr>
        <w:t xml:space="preserve"> </w:t>
      </w:r>
      <w:r>
        <w:t>raporlamayı; bu Politikayı ve çevre yönetim sistemini düzenli aralıklarla gözden geçirerek sürekli iyileştirmeyi ve Politikayı ilgili tarafların erişimine açı</w:t>
      </w:r>
      <w:r>
        <w:t>k tutmayı.</w:t>
      </w:r>
    </w:p>
    <w:p w14:paraId="292124A6" w14:textId="6EFF3CD0" w:rsidR="00A94D86" w:rsidRDefault="00A94D86" w:rsidP="00A94D86">
      <w:pPr>
        <w:pStyle w:val="ListeParagraf"/>
        <w:tabs>
          <w:tab w:val="left" w:pos="1098"/>
        </w:tabs>
        <w:spacing w:before="98" w:line="276" w:lineRule="auto"/>
        <w:ind w:right="139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CFD3C" wp14:editId="017259A2">
                <wp:simplePos x="0" y="0"/>
                <wp:positionH relativeFrom="column">
                  <wp:posOffset>640714</wp:posOffset>
                </wp:positionH>
                <wp:positionV relativeFrom="paragraph">
                  <wp:posOffset>173990</wp:posOffset>
                </wp:positionV>
                <wp:extent cx="5629275" cy="19050"/>
                <wp:effectExtent l="0" t="0" r="28575" b="19050"/>
                <wp:wrapNone/>
                <wp:docPr id="1322857605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9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F0EAF4" id="Düz Bağlayıcı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45pt,13.7pt" to="493.7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" strokecolor="black [3040]"/>
            </w:pict>
          </mc:Fallback>
        </mc:AlternateContent>
      </w:r>
    </w:p>
    <w:p w14:paraId="48CE1A9F" w14:textId="1AE545AA" w:rsidR="00A94D86" w:rsidRDefault="00A94D86" w:rsidP="00A94D86">
      <w:pPr>
        <w:pStyle w:val="ListeParagraf"/>
        <w:tabs>
          <w:tab w:val="left" w:pos="1098"/>
        </w:tabs>
        <w:spacing w:before="98" w:line="276" w:lineRule="auto"/>
        <w:ind w:right="139"/>
      </w:pPr>
      <w:r>
        <w:t xml:space="preserve"> 01</w:t>
      </w:r>
      <w:r w:rsidRPr="00A94D86">
        <w:t>.</w:t>
      </w:r>
      <w:r>
        <w:t>10</w:t>
      </w:r>
      <w:r w:rsidRPr="00A94D86">
        <w:t xml:space="preserve">.2026 tarih ve </w:t>
      </w:r>
      <w:r>
        <w:t>19</w:t>
      </w:r>
      <w:r w:rsidRPr="00A94D86">
        <w:t>/</w:t>
      </w:r>
      <w:r>
        <w:t>151</w:t>
      </w:r>
      <w:r w:rsidRPr="00A94D86">
        <w:t xml:space="preserve"> sayılı Senato Kararı ile kabul edildi.</w:t>
      </w:r>
    </w:p>
    <w:sectPr w:rsidR="00A94D86" w:rsidSect="00C1731F">
      <w:headerReference w:type="default" r:id="rId8"/>
      <w:footerReference w:type="default" r:id="rId9"/>
      <w:type w:val="continuous"/>
      <w:pgSz w:w="11910" w:h="16840"/>
      <w:pgMar w:top="160" w:right="1275" w:bottom="280" w:left="566" w:header="39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60FAF" w14:textId="77777777" w:rsidR="00F35896" w:rsidRDefault="00F35896" w:rsidP="00875342">
      <w:r>
        <w:separator/>
      </w:r>
    </w:p>
  </w:endnote>
  <w:endnote w:type="continuationSeparator" w:id="0">
    <w:p w14:paraId="33B6C283" w14:textId="77777777" w:rsidR="00F35896" w:rsidRDefault="00F35896" w:rsidP="0087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652"/>
      <w:gridCol w:w="3827"/>
      <w:gridCol w:w="3261"/>
    </w:tblGrid>
    <w:tr w:rsidR="00875342" w:rsidRPr="00875342" w14:paraId="7F97AB3C" w14:textId="77777777" w:rsidTr="00C1731F">
      <w:trPr>
        <w:trHeight w:val="340"/>
      </w:trPr>
      <w:tc>
        <w:tcPr>
          <w:tcW w:w="3652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254C69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bookmarkStart w:id="1" w:name="_Hlk85100968"/>
          <w:bookmarkStart w:id="2" w:name="_Hlk89957417"/>
          <w:bookmarkStart w:id="3" w:name="_Hlk89957418"/>
          <w:bookmarkStart w:id="4" w:name="_Hlk89957419"/>
          <w:bookmarkStart w:id="5" w:name="_Hlk89957420"/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Hazırlayan</w:t>
          </w: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14EFA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Sistem Onayı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F6FD051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Yürürlük Onayı</w:t>
          </w:r>
        </w:p>
      </w:tc>
    </w:tr>
    <w:tr w:rsidR="00875342" w:rsidRPr="00875342" w14:paraId="3C4B1CDA" w14:textId="77777777" w:rsidTr="00C1731F">
      <w:trPr>
        <w:trHeight w:val="340"/>
      </w:trPr>
      <w:tc>
        <w:tcPr>
          <w:tcW w:w="3652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9107B7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Bölüm Kalite Sorumlusu</w:t>
          </w:r>
        </w:p>
      </w:tc>
      <w:tc>
        <w:tcPr>
          <w:tcW w:w="3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E1FF79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Kalite Koordinatörü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12B8DE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</w:pPr>
          <w:r w:rsidRPr="00875342">
            <w:rPr>
              <w:rFonts w:eastAsia="Calibri"/>
              <w:kern w:val="2"/>
              <w:sz w:val="24"/>
              <w:szCs w:val="24"/>
              <w:lang w:eastAsia="tr-TR"/>
              <w14:ligatures w14:val="standardContextual"/>
            </w:rPr>
            <w:t>Üst Yönetici</w:t>
          </w:r>
        </w:p>
      </w:tc>
    </w:tr>
    <w:bookmarkEnd w:id="1"/>
    <w:bookmarkEnd w:id="2"/>
    <w:bookmarkEnd w:id="3"/>
    <w:bookmarkEnd w:id="4"/>
    <w:bookmarkEnd w:id="5"/>
  </w:tbl>
  <w:p w14:paraId="01D9FACD" w14:textId="77777777" w:rsidR="00875342" w:rsidRDefault="008753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8C06D" w14:textId="77777777" w:rsidR="00F35896" w:rsidRDefault="00F35896" w:rsidP="00875342">
      <w:r>
        <w:separator/>
      </w:r>
    </w:p>
  </w:footnote>
  <w:footnote w:type="continuationSeparator" w:id="0">
    <w:p w14:paraId="08A228F7" w14:textId="77777777" w:rsidR="00F35896" w:rsidRDefault="00F35896" w:rsidP="00875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AE416" w14:textId="145E45F0" w:rsidR="00875342" w:rsidRDefault="00875342">
    <w:pPr>
      <w:pStyle w:val="stBilgi"/>
    </w:pPr>
  </w:p>
  <w:tbl>
    <w:tblPr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95"/>
      <w:gridCol w:w="4935"/>
      <w:gridCol w:w="2234"/>
      <w:gridCol w:w="1417"/>
    </w:tblGrid>
    <w:tr w:rsidR="00875342" w:rsidRPr="00875342" w14:paraId="15ADC080" w14:textId="77777777" w:rsidTr="00875342">
      <w:trPr>
        <w:trHeight w:val="287"/>
      </w:trPr>
      <w:tc>
        <w:tcPr>
          <w:tcW w:w="2295" w:type="dxa"/>
          <w:vMerge w:val="restart"/>
          <w:vAlign w:val="center"/>
        </w:tcPr>
        <w:p w14:paraId="397F9266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eastAsia="Calibri" w:hAnsi="Arial" w:cs="Arial"/>
            </w:rPr>
          </w:pPr>
          <w:r w:rsidRPr="00875342">
            <w:rPr>
              <w:rFonts w:ascii="Arial" w:eastAsia="Calibri" w:hAnsi="Arial" w:cs="Arial"/>
              <w:noProof/>
              <w:lang w:eastAsia="tr-TR"/>
            </w:rPr>
            <w:drawing>
              <wp:inline distT="0" distB="0" distL="0" distR="0" wp14:anchorId="426FAC29" wp14:editId="512C87FF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5" w:type="dxa"/>
          <w:vMerge w:val="restart"/>
          <w:vAlign w:val="center"/>
        </w:tcPr>
        <w:p w14:paraId="6E201404" w14:textId="35559D60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ÇEVRE YÖNETİMİ VE ATIK POLİTİKASI</w:t>
          </w:r>
        </w:p>
      </w:tc>
      <w:tc>
        <w:tcPr>
          <w:tcW w:w="2234" w:type="dxa"/>
          <w:vAlign w:val="center"/>
        </w:tcPr>
        <w:p w14:paraId="5FACC9CC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sz w:val="24"/>
              <w:szCs w:val="24"/>
            </w:rPr>
          </w:pPr>
          <w:r w:rsidRPr="00875342">
            <w:rPr>
              <w:rFonts w:eastAsia="Calibri"/>
              <w:sz w:val="24"/>
              <w:szCs w:val="24"/>
            </w:rPr>
            <w:t>Doküman No</w:t>
          </w:r>
        </w:p>
      </w:tc>
      <w:tc>
        <w:tcPr>
          <w:tcW w:w="1417" w:type="dxa"/>
          <w:vAlign w:val="center"/>
        </w:tcPr>
        <w:p w14:paraId="02C68A21" w14:textId="3EAD360A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YD.088</w:t>
          </w:r>
        </w:p>
      </w:tc>
    </w:tr>
    <w:tr w:rsidR="00875342" w:rsidRPr="00875342" w14:paraId="7EF8E21F" w14:textId="77777777" w:rsidTr="00875342">
      <w:trPr>
        <w:trHeight w:val="287"/>
      </w:trPr>
      <w:tc>
        <w:tcPr>
          <w:tcW w:w="2295" w:type="dxa"/>
          <w:vMerge/>
          <w:vAlign w:val="center"/>
        </w:tcPr>
        <w:p w14:paraId="45BE9DEF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3CBDA37B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sz w:val="24"/>
              <w:szCs w:val="24"/>
            </w:rPr>
          </w:pPr>
        </w:p>
      </w:tc>
      <w:tc>
        <w:tcPr>
          <w:tcW w:w="2234" w:type="dxa"/>
          <w:vAlign w:val="center"/>
        </w:tcPr>
        <w:p w14:paraId="52356E5D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sz w:val="24"/>
              <w:szCs w:val="24"/>
            </w:rPr>
          </w:pPr>
          <w:r w:rsidRPr="00875342">
            <w:rPr>
              <w:rFonts w:eastAsia="Calibri"/>
              <w:sz w:val="24"/>
              <w:szCs w:val="24"/>
            </w:rPr>
            <w:t>İlk Yayın Tarihi</w:t>
          </w:r>
        </w:p>
      </w:tc>
      <w:tc>
        <w:tcPr>
          <w:tcW w:w="1417" w:type="dxa"/>
          <w:vAlign w:val="center"/>
        </w:tcPr>
        <w:p w14:paraId="66D7C6F7" w14:textId="7150D160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01.10</w:t>
          </w:r>
          <w:r w:rsidRPr="00875342">
            <w:rPr>
              <w:rFonts w:eastAsia="Calibri"/>
              <w:b/>
              <w:sz w:val="24"/>
              <w:szCs w:val="24"/>
            </w:rPr>
            <w:t>.2026</w:t>
          </w:r>
        </w:p>
      </w:tc>
    </w:tr>
    <w:tr w:rsidR="00875342" w:rsidRPr="00875342" w14:paraId="31F49E36" w14:textId="77777777" w:rsidTr="00875342">
      <w:trPr>
        <w:trHeight w:val="287"/>
      </w:trPr>
      <w:tc>
        <w:tcPr>
          <w:tcW w:w="2295" w:type="dxa"/>
          <w:vMerge/>
          <w:vAlign w:val="center"/>
        </w:tcPr>
        <w:p w14:paraId="2D07AAC9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1A2FADAC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sz w:val="24"/>
              <w:szCs w:val="24"/>
            </w:rPr>
          </w:pPr>
        </w:p>
      </w:tc>
      <w:tc>
        <w:tcPr>
          <w:tcW w:w="2234" w:type="dxa"/>
          <w:vAlign w:val="center"/>
        </w:tcPr>
        <w:p w14:paraId="3226725B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sz w:val="24"/>
              <w:szCs w:val="24"/>
            </w:rPr>
          </w:pPr>
          <w:r w:rsidRPr="00875342">
            <w:rPr>
              <w:rFonts w:eastAsia="Calibri"/>
              <w:sz w:val="24"/>
              <w:szCs w:val="24"/>
            </w:rPr>
            <w:t>Revizyon Tarihi</w:t>
          </w:r>
        </w:p>
      </w:tc>
      <w:tc>
        <w:tcPr>
          <w:tcW w:w="1417" w:type="dxa"/>
          <w:vAlign w:val="center"/>
        </w:tcPr>
        <w:p w14:paraId="07FDE2DB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b/>
              <w:sz w:val="24"/>
              <w:szCs w:val="24"/>
            </w:rPr>
          </w:pPr>
          <w:r w:rsidRPr="00875342">
            <w:rPr>
              <w:rFonts w:eastAsia="Calibri"/>
              <w:b/>
              <w:sz w:val="24"/>
              <w:szCs w:val="24"/>
            </w:rPr>
            <w:t>-</w:t>
          </w:r>
        </w:p>
      </w:tc>
    </w:tr>
    <w:tr w:rsidR="00875342" w:rsidRPr="00875342" w14:paraId="0656EC5F" w14:textId="77777777" w:rsidTr="00875342">
      <w:trPr>
        <w:trHeight w:val="287"/>
      </w:trPr>
      <w:tc>
        <w:tcPr>
          <w:tcW w:w="2295" w:type="dxa"/>
          <w:vMerge/>
          <w:vAlign w:val="center"/>
        </w:tcPr>
        <w:p w14:paraId="10664F5E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3FFF8325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sz w:val="24"/>
              <w:szCs w:val="24"/>
            </w:rPr>
          </w:pPr>
        </w:p>
      </w:tc>
      <w:tc>
        <w:tcPr>
          <w:tcW w:w="2234" w:type="dxa"/>
          <w:vAlign w:val="center"/>
        </w:tcPr>
        <w:p w14:paraId="4856EC8C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sz w:val="24"/>
              <w:szCs w:val="24"/>
            </w:rPr>
          </w:pPr>
          <w:r w:rsidRPr="00875342">
            <w:rPr>
              <w:rFonts w:eastAsia="Calibri"/>
              <w:sz w:val="24"/>
              <w:szCs w:val="24"/>
            </w:rPr>
            <w:t>Revizyon No</w:t>
          </w:r>
        </w:p>
      </w:tc>
      <w:tc>
        <w:tcPr>
          <w:tcW w:w="1417" w:type="dxa"/>
          <w:vAlign w:val="center"/>
        </w:tcPr>
        <w:p w14:paraId="49BD82FC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b/>
              <w:sz w:val="24"/>
              <w:szCs w:val="24"/>
            </w:rPr>
          </w:pPr>
          <w:r w:rsidRPr="00875342">
            <w:rPr>
              <w:rFonts w:eastAsia="Calibri"/>
              <w:b/>
              <w:sz w:val="24"/>
              <w:szCs w:val="24"/>
            </w:rPr>
            <w:t>0</w:t>
          </w:r>
        </w:p>
      </w:tc>
    </w:tr>
    <w:tr w:rsidR="00875342" w:rsidRPr="00875342" w14:paraId="3A113D76" w14:textId="77777777" w:rsidTr="00875342">
      <w:trPr>
        <w:trHeight w:val="287"/>
      </w:trPr>
      <w:tc>
        <w:tcPr>
          <w:tcW w:w="2295" w:type="dxa"/>
          <w:vMerge/>
          <w:vAlign w:val="center"/>
        </w:tcPr>
        <w:p w14:paraId="4FB69E6D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eastAsia="Calibri" w:hAnsi="Arial" w:cs="Arial"/>
            </w:rPr>
          </w:pPr>
        </w:p>
      </w:tc>
      <w:tc>
        <w:tcPr>
          <w:tcW w:w="4935" w:type="dxa"/>
          <w:vMerge/>
          <w:vAlign w:val="center"/>
        </w:tcPr>
        <w:p w14:paraId="2BE891FE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eastAsia="Calibri"/>
              <w:sz w:val="24"/>
              <w:szCs w:val="24"/>
            </w:rPr>
          </w:pPr>
        </w:p>
      </w:tc>
      <w:tc>
        <w:tcPr>
          <w:tcW w:w="2234" w:type="dxa"/>
          <w:vAlign w:val="center"/>
        </w:tcPr>
        <w:p w14:paraId="14358150" w14:textId="77777777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sz w:val="24"/>
              <w:szCs w:val="24"/>
            </w:rPr>
          </w:pPr>
          <w:r w:rsidRPr="00875342">
            <w:rPr>
              <w:rFonts w:eastAsia="Calibri"/>
              <w:sz w:val="24"/>
              <w:szCs w:val="24"/>
            </w:rPr>
            <w:t>Sayfa</w:t>
          </w:r>
        </w:p>
      </w:tc>
      <w:tc>
        <w:tcPr>
          <w:tcW w:w="1417" w:type="dxa"/>
          <w:vAlign w:val="center"/>
        </w:tcPr>
        <w:p w14:paraId="63AE8AD7" w14:textId="59526223" w:rsidR="00875342" w:rsidRPr="00875342" w:rsidRDefault="00875342" w:rsidP="00875342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eastAsia="Calibri"/>
              <w:b/>
              <w:sz w:val="24"/>
              <w:szCs w:val="24"/>
            </w:rPr>
          </w:pPr>
          <w:r w:rsidRPr="00875342">
            <w:rPr>
              <w:rFonts w:eastAsia="Calibri"/>
              <w:b/>
              <w:sz w:val="24"/>
              <w:szCs w:val="24"/>
            </w:rPr>
            <w:fldChar w:fldCharType="begin"/>
          </w:r>
          <w:r w:rsidRPr="00875342">
            <w:rPr>
              <w:rFonts w:eastAsia="Calibri"/>
              <w:b/>
              <w:sz w:val="24"/>
              <w:szCs w:val="24"/>
            </w:rPr>
            <w:instrText xml:space="preserve"> PAGE   \* MERGEFORMAT </w:instrText>
          </w:r>
          <w:r w:rsidRPr="00875342">
            <w:rPr>
              <w:rFonts w:eastAsia="Calibri"/>
              <w:b/>
              <w:sz w:val="24"/>
              <w:szCs w:val="24"/>
            </w:rPr>
            <w:fldChar w:fldCharType="separate"/>
          </w:r>
          <w:r w:rsidR="006F7121">
            <w:rPr>
              <w:rFonts w:eastAsia="Calibri"/>
              <w:b/>
              <w:noProof/>
              <w:sz w:val="24"/>
              <w:szCs w:val="24"/>
            </w:rPr>
            <w:t>2</w:t>
          </w:r>
          <w:r w:rsidRPr="00875342">
            <w:rPr>
              <w:rFonts w:eastAsia="Calibri"/>
              <w:b/>
              <w:sz w:val="24"/>
              <w:szCs w:val="24"/>
            </w:rPr>
            <w:fldChar w:fldCharType="end"/>
          </w:r>
          <w:r w:rsidRPr="00875342">
            <w:rPr>
              <w:rFonts w:eastAsia="Calibri"/>
              <w:b/>
              <w:sz w:val="24"/>
              <w:szCs w:val="24"/>
            </w:rPr>
            <w:t>/</w:t>
          </w:r>
          <w:r w:rsidRPr="00875342">
            <w:rPr>
              <w:rFonts w:eastAsia="Calibri"/>
              <w:sz w:val="24"/>
              <w:szCs w:val="24"/>
            </w:rPr>
            <w:fldChar w:fldCharType="begin"/>
          </w:r>
          <w:r w:rsidRPr="00875342">
            <w:rPr>
              <w:rFonts w:eastAsia="Calibri"/>
              <w:sz w:val="24"/>
              <w:szCs w:val="24"/>
            </w:rPr>
            <w:instrText xml:space="preserve"> NUMPAGES   \* MERGEFORMAT </w:instrText>
          </w:r>
          <w:r w:rsidRPr="00875342">
            <w:rPr>
              <w:rFonts w:eastAsia="Calibri"/>
              <w:sz w:val="24"/>
              <w:szCs w:val="24"/>
            </w:rPr>
            <w:fldChar w:fldCharType="separate"/>
          </w:r>
          <w:r w:rsidR="006F7121" w:rsidRPr="006F7121">
            <w:rPr>
              <w:rFonts w:eastAsia="Calibri"/>
              <w:b/>
              <w:noProof/>
              <w:sz w:val="24"/>
              <w:szCs w:val="24"/>
            </w:rPr>
            <w:t>2</w:t>
          </w:r>
          <w:r w:rsidRPr="00875342">
            <w:rPr>
              <w:rFonts w:eastAsia="Calibri"/>
              <w:b/>
              <w:noProof/>
              <w:sz w:val="24"/>
              <w:szCs w:val="24"/>
            </w:rPr>
            <w:fldChar w:fldCharType="end"/>
          </w:r>
        </w:p>
      </w:tc>
    </w:tr>
  </w:tbl>
  <w:p w14:paraId="78246C04" w14:textId="77777777" w:rsidR="00875342" w:rsidRDefault="008753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9792F"/>
    <w:multiLevelType w:val="hybridMultilevel"/>
    <w:tmpl w:val="85769DB8"/>
    <w:lvl w:ilvl="0" w:tplc="13284FA6">
      <w:numFmt w:val="bullet"/>
      <w:lvlText w:val="•"/>
      <w:lvlJc w:val="left"/>
      <w:pPr>
        <w:ind w:left="962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11E2120">
      <w:numFmt w:val="bullet"/>
      <w:lvlText w:val="•"/>
      <w:lvlJc w:val="left"/>
      <w:pPr>
        <w:ind w:left="1870" w:hanging="148"/>
      </w:pPr>
      <w:rPr>
        <w:rFonts w:hint="default"/>
        <w:lang w:val="tr-TR" w:eastAsia="en-US" w:bidi="ar-SA"/>
      </w:rPr>
    </w:lvl>
    <w:lvl w:ilvl="2" w:tplc="1DF0BF62">
      <w:numFmt w:val="bullet"/>
      <w:lvlText w:val="•"/>
      <w:lvlJc w:val="left"/>
      <w:pPr>
        <w:ind w:left="2781" w:hanging="148"/>
      </w:pPr>
      <w:rPr>
        <w:rFonts w:hint="default"/>
        <w:lang w:val="tr-TR" w:eastAsia="en-US" w:bidi="ar-SA"/>
      </w:rPr>
    </w:lvl>
    <w:lvl w:ilvl="3" w:tplc="90324CD6">
      <w:numFmt w:val="bullet"/>
      <w:lvlText w:val="•"/>
      <w:lvlJc w:val="left"/>
      <w:pPr>
        <w:ind w:left="3691" w:hanging="148"/>
      </w:pPr>
      <w:rPr>
        <w:rFonts w:hint="default"/>
        <w:lang w:val="tr-TR" w:eastAsia="en-US" w:bidi="ar-SA"/>
      </w:rPr>
    </w:lvl>
    <w:lvl w:ilvl="4" w:tplc="324283A0">
      <w:numFmt w:val="bullet"/>
      <w:lvlText w:val="•"/>
      <w:lvlJc w:val="left"/>
      <w:pPr>
        <w:ind w:left="4602" w:hanging="148"/>
      </w:pPr>
      <w:rPr>
        <w:rFonts w:hint="default"/>
        <w:lang w:val="tr-TR" w:eastAsia="en-US" w:bidi="ar-SA"/>
      </w:rPr>
    </w:lvl>
    <w:lvl w:ilvl="5" w:tplc="0040FA28">
      <w:numFmt w:val="bullet"/>
      <w:lvlText w:val="•"/>
      <w:lvlJc w:val="left"/>
      <w:pPr>
        <w:ind w:left="5512" w:hanging="148"/>
      </w:pPr>
      <w:rPr>
        <w:rFonts w:hint="default"/>
        <w:lang w:val="tr-TR" w:eastAsia="en-US" w:bidi="ar-SA"/>
      </w:rPr>
    </w:lvl>
    <w:lvl w:ilvl="6" w:tplc="8848D0D4">
      <w:numFmt w:val="bullet"/>
      <w:lvlText w:val="•"/>
      <w:lvlJc w:val="left"/>
      <w:pPr>
        <w:ind w:left="6423" w:hanging="148"/>
      </w:pPr>
      <w:rPr>
        <w:rFonts w:hint="default"/>
        <w:lang w:val="tr-TR" w:eastAsia="en-US" w:bidi="ar-SA"/>
      </w:rPr>
    </w:lvl>
    <w:lvl w:ilvl="7" w:tplc="EECA8508">
      <w:numFmt w:val="bullet"/>
      <w:lvlText w:val="•"/>
      <w:lvlJc w:val="left"/>
      <w:pPr>
        <w:ind w:left="7333" w:hanging="148"/>
      </w:pPr>
      <w:rPr>
        <w:rFonts w:hint="default"/>
        <w:lang w:val="tr-TR" w:eastAsia="en-US" w:bidi="ar-SA"/>
      </w:rPr>
    </w:lvl>
    <w:lvl w:ilvl="8" w:tplc="ED706900">
      <w:numFmt w:val="bullet"/>
      <w:lvlText w:val="•"/>
      <w:lvlJc w:val="left"/>
      <w:pPr>
        <w:ind w:left="8244" w:hanging="14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32EC"/>
    <w:rsid w:val="001064C6"/>
    <w:rsid w:val="00425BCA"/>
    <w:rsid w:val="006F7121"/>
    <w:rsid w:val="008339F9"/>
    <w:rsid w:val="00875342"/>
    <w:rsid w:val="008B26E1"/>
    <w:rsid w:val="009332EC"/>
    <w:rsid w:val="00980C23"/>
    <w:rsid w:val="00A94D86"/>
    <w:rsid w:val="00B26206"/>
    <w:rsid w:val="00C1731F"/>
    <w:rsid w:val="00F3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B3D9A"/>
  <w15:docId w15:val="{433D0767-18C1-49CD-A940-8B5935E3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3046" w:right="1136" w:hanging="425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1"/>
      <w:ind w:left="962" w:right="138"/>
      <w:jc w:val="both"/>
    </w:pPr>
  </w:style>
  <w:style w:type="paragraph" w:styleId="ListeParagraf">
    <w:name w:val="List Paragraph"/>
    <w:basedOn w:val="Normal"/>
    <w:uiPriority w:val="1"/>
    <w:qFormat/>
    <w:pPr>
      <w:spacing w:before="101"/>
      <w:ind w:left="962" w:right="13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753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534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753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534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F2343-14FE-48E3-8CB7-9C89494E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- 1- ALKU_Cevre_Yonetimi_ve_Atik_Politikasi_Senato_Nihai.docx</vt:lpstr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- 1- ALKU_Cevre_Yonetimi_ve_Atik_Politikasi_Senato_Nihai.docx</dc:title>
  <cp:lastModifiedBy>Alku</cp:lastModifiedBy>
  <cp:revision>17</cp:revision>
  <dcterms:created xsi:type="dcterms:W3CDTF">2026-10-05T08:47:00Z</dcterms:created>
  <dcterms:modified xsi:type="dcterms:W3CDTF">2026-10-05T10:26:00Z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Microsoft: Print To PDF</vt:lpwstr>
  </property>
</Properties>
</file>